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F0" w:rsidRDefault="00AB186B" w:rsidP="00A576B8">
      <w:pPr>
        <w:pStyle w:val="Textoindependiente"/>
        <w:spacing w:before="37" w:line="230" w:lineRule="auto"/>
        <w:jc w:val="both"/>
      </w:pPr>
      <w:r>
        <w:rPr>
          <w:color w:val="231F20"/>
          <w:u w:val="thick" w:color="939598"/>
        </w:rPr>
        <w:tab/>
        <w:t>Advertencias</w:t>
      </w:r>
    </w:p>
    <w:p w:rsidR="003B03F0" w:rsidRDefault="00AB186B">
      <w:pPr>
        <w:spacing w:before="48"/>
        <w:ind w:left="713"/>
        <w:rPr>
          <w:i/>
          <w:sz w:val="10"/>
        </w:rPr>
      </w:pPr>
      <w:r>
        <w:rPr>
          <w:i/>
          <w:color w:val="231F20"/>
          <w:sz w:val="10"/>
        </w:rPr>
        <w:t>ALERGIA &amp; INMUNOLOGÍA CLÍNICA</w:t>
      </w:r>
    </w:p>
    <w:p w:rsidR="003B03F0" w:rsidRDefault="003B03F0">
      <w:pPr>
        <w:pStyle w:val="Textoindependiente"/>
        <w:rPr>
          <w:i/>
          <w:sz w:val="20"/>
        </w:rPr>
      </w:pPr>
    </w:p>
    <w:p w:rsidR="003B03F0" w:rsidRDefault="003616CA">
      <w:pPr>
        <w:pStyle w:val="Textoindependiente"/>
        <w:spacing w:before="2"/>
        <w:rPr>
          <w:i/>
          <w:sz w:val="19"/>
        </w:rPr>
      </w:pPr>
      <w:r>
        <w:pict>
          <v:line id="_x0000_s1062" style="position:absolute;z-index:251623936;mso-wrap-distance-left:0;mso-wrap-distance-right:0;mso-position-horizontal-relative:page" from="33.85pt,13.75pt" to="518.05pt,13.75pt" strokecolor="#939598" strokeweight=".5mm">
            <w10:wrap type="topAndBottom" anchorx="page"/>
          </v:line>
        </w:pict>
      </w:r>
    </w:p>
    <w:p w:rsidR="003B03F0" w:rsidRDefault="00AB186B">
      <w:pPr>
        <w:spacing w:line="371" w:lineRule="exact"/>
        <w:ind w:left="1566" w:right="1568"/>
        <w:jc w:val="center"/>
        <w:rPr>
          <w:rFonts w:ascii="Arial"/>
          <w:b/>
          <w:sz w:val="42"/>
        </w:rPr>
      </w:pPr>
      <w:r>
        <w:rPr>
          <w:rFonts w:ascii="Arial"/>
          <w:b/>
          <w:color w:val="231F20"/>
          <w:w w:val="90"/>
          <w:sz w:val="42"/>
        </w:rPr>
        <w:t>ADVERTENCIAS</w:t>
      </w:r>
    </w:p>
    <w:p w:rsidR="003B03F0" w:rsidRDefault="00AB186B">
      <w:pPr>
        <w:spacing w:line="197" w:lineRule="exact"/>
        <w:ind w:left="1566" w:right="1572"/>
        <w:jc w:val="center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 xml:space="preserve">En </w:t>
      </w:r>
      <w:proofErr w:type="gramStart"/>
      <w:r>
        <w:rPr>
          <w:rFonts w:ascii="Arial" w:hAnsi="Arial"/>
          <w:color w:val="231F20"/>
          <w:sz w:val="20"/>
        </w:rPr>
        <w:t>este</w:t>
      </w:r>
      <w:proofErr w:type="gramEnd"/>
      <w:r>
        <w:rPr>
          <w:rFonts w:ascii="Arial" w:hAnsi="Arial"/>
          <w:color w:val="231F20"/>
          <w:sz w:val="20"/>
        </w:rPr>
        <w:t xml:space="preserve"> espacio se informa sobre advertencias y comunicaciones recientes, de fármacos</w:t>
      </w:r>
    </w:p>
    <w:p w:rsidR="003B03F0" w:rsidRDefault="003616CA">
      <w:pPr>
        <w:spacing w:before="14"/>
        <w:ind w:left="1564" w:right="1572"/>
        <w:jc w:val="center"/>
        <w:rPr>
          <w:rFonts w:ascii="Arial"/>
          <w:sz w:val="20"/>
        </w:rPr>
      </w:pPr>
      <w:r>
        <w:pict>
          <v:line id="_x0000_s1061" style="position:absolute;left:0;text-align:left;z-index:251624960;mso-wrap-distance-left:0;mso-wrap-distance-right:0;mso-position-horizontal-relative:page" from="33.85pt,16.8pt" to="518.05pt,16.8pt" strokecolor="#939598" strokeweight=".5mm">
            <w10:wrap type="topAndBottom" anchorx="page"/>
          </v:line>
        </w:pict>
      </w:r>
      <w:proofErr w:type="gramStart"/>
      <w:r w:rsidR="00AB186B">
        <w:rPr>
          <w:rFonts w:ascii="Arial"/>
          <w:color w:val="231F20"/>
          <w:sz w:val="20"/>
        </w:rPr>
        <w:t>preferentemente</w:t>
      </w:r>
      <w:proofErr w:type="gramEnd"/>
      <w:r w:rsidR="00AB186B">
        <w:rPr>
          <w:rFonts w:ascii="Arial"/>
          <w:color w:val="231F20"/>
          <w:sz w:val="20"/>
        </w:rPr>
        <w:t xml:space="preserve"> relacionados con la especialidad.</w:t>
      </w:r>
    </w:p>
    <w:p w:rsidR="003B03F0" w:rsidRDefault="00AB186B">
      <w:pPr>
        <w:pStyle w:val="Ttulo41"/>
        <w:ind w:left="696"/>
      </w:pPr>
      <w:r>
        <w:rPr>
          <w:color w:val="231F20"/>
          <w:w w:val="95"/>
        </w:rPr>
        <w:t>Jorge S. Alvarez</w:t>
      </w:r>
    </w:p>
    <w:p w:rsidR="003B03F0" w:rsidRDefault="00AB186B">
      <w:pPr>
        <w:spacing w:before="16"/>
        <w:ind w:left="69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Doctor en Medicina y Cirugía</w:t>
      </w:r>
    </w:p>
    <w:p w:rsidR="003B03F0" w:rsidRDefault="00AB186B">
      <w:pPr>
        <w:pStyle w:val="Ttulo41"/>
        <w:spacing w:before="13"/>
        <w:ind w:left="696"/>
      </w:pPr>
      <w:r>
        <w:rPr>
          <w:color w:val="231F20"/>
        </w:rPr>
        <w:t>Claudia Roitter</w:t>
      </w:r>
    </w:p>
    <w:p w:rsidR="003B03F0" w:rsidRDefault="003616CA">
      <w:pPr>
        <w:spacing w:before="17"/>
        <w:ind w:left="696"/>
        <w:rPr>
          <w:rFonts w:ascii="Arial" w:hAnsi="Arial"/>
          <w:i/>
          <w:sz w:val="18"/>
        </w:rPr>
      </w:pPr>
      <w:r>
        <w:pict>
          <v:line id="_x0000_s1060" style="position:absolute;left:0;text-align:left;z-index:251625984;mso-wrap-distance-left:0;mso-wrap-distance-right:0;mso-position-horizontal-relative:page" from="33.85pt,16.5pt" to="518.05pt,16.5pt" strokecolor="#939598" strokeweight=".5mm">
            <w10:wrap type="topAndBottom" anchorx="page"/>
          </v:line>
        </w:pict>
      </w:r>
      <w:r w:rsidR="00AB186B">
        <w:rPr>
          <w:rFonts w:ascii="Arial" w:hAnsi="Arial"/>
          <w:i/>
          <w:color w:val="231F20"/>
          <w:sz w:val="18"/>
        </w:rPr>
        <w:t>Magister en Farmacoepidemiología</w:t>
      </w:r>
    </w:p>
    <w:p w:rsidR="003B03F0" w:rsidRDefault="003B03F0">
      <w:pPr>
        <w:pStyle w:val="Textoindependiente"/>
        <w:spacing w:before="1"/>
        <w:rPr>
          <w:rFonts w:ascii="Arial"/>
          <w:i/>
          <w:sz w:val="10"/>
        </w:rPr>
      </w:pPr>
    </w:p>
    <w:p w:rsidR="003B03F0" w:rsidRDefault="003B03F0">
      <w:pPr>
        <w:rPr>
          <w:rFonts w:ascii="Arial"/>
          <w:sz w:val="10"/>
        </w:rPr>
        <w:sectPr w:rsidR="003B03F0">
          <w:headerReference w:type="even" r:id="rId7"/>
          <w:footerReference w:type="even" r:id="rId8"/>
          <w:footerReference w:type="default" r:id="rId9"/>
          <w:pgSz w:w="11060" w:h="15600"/>
          <w:pgMar w:top="140" w:right="0" w:bottom="360" w:left="0" w:header="0" w:footer="172" w:gutter="0"/>
          <w:pgNumType w:start="32"/>
          <w:cols w:space="720"/>
        </w:sectPr>
      </w:pPr>
    </w:p>
    <w:p w:rsidR="003B03F0" w:rsidRDefault="00AB186B">
      <w:pPr>
        <w:pStyle w:val="Ttulo61"/>
        <w:spacing w:before="62"/>
        <w:ind w:left="694"/>
        <w:jc w:val="left"/>
      </w:pPr>
      <w:r>
        <w:rPr>
          <w:color w:val="231F20"/>
        </w:rPr>
        <w:t>QUINOLONAS Y RIESGO DE SUICIDIO</w:t>
      </w:r>
    </w:p>
    <w:p w:rsidR="003B03F0" w:rsidRDefault="003B03F0">
      <w:pPr>
        <w:pStyle w:val="Textoindependiente"/>
        <w:spacing w:before="11"/>
        <w:rPr>
          <w:b/>
          <w:sz w:val="12"/>
        </w:rPr>
      </w:pPr>
    </w:p>
    <w:p w:rsidR="003B03F0" w:rsidRDefault="003616CA">
      <w:pPr>
        <w:pStyle w:val="Textoindependiente"/>
        <w:spacing w:line="30" w:lineRule="exact"/>
        <w:ind w:left="662" w:right="-5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8" style="width:234.55pt;height:1.45pt;mso-position-horizontal-relative:char;mso-position-vertical-relative:line" coordsize="4691,29">
            <v:line id="_x0000_s1059" style="position:absolute" from="0,14" to="4691,14" strokecolor="#939598" strokeweight=".5mm"/>
            <w10:anchorlock/>
          </v:group>
        </w:pict>
      </w:r>
    </w:p>
    <w:p w:rsidR="003B03F0" w:rsidRDefault="00AB186B">
      <w:pPr>
        <w:pStyle w:val="Textoindependiente"/>
        <w:spacing w:before="165"/>
        <w:ind w:left="694"/>
      </w:pPr>
      <w:r>
        <w:rPr>
          <w:color w:val="231F20"/>
        </w:rPr>
        <w:t>La FDA actualiza advertencias por efectos</w:t>
      </w:r>
    </w:p>
    <w:p w:rsidR="003B03F0" w:rsidRDefault="00AB186B">
      <w:pPr>
        <w:spacing w:before="81" w:line="230" w:lineRule="auto"/>
        <w:ind w:left="279" w:right="690"/>
        <w:rPr>
          <w:b/>
        </w:rPr>
      </w:pPr>
      <w:r>
        <w:br w:type="column"/>
      </w:r>
      <w:r>
        <w:rPr>
          <w:b/>
          <w:i/>
          <w:color w:val="231F20"/>
        </w:rPr>
        <w:t>Extraído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y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modificado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de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color w:val="231F20"/>
        </w:rPr>
        <w:t>FDA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Drug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Safety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labeling Changes,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2017.</w:t>
      </w:r>
    </w:p>
    <w:p w:rsidR="003B03F0" w:rsidRDefault="00AB186B">
      <w:pPr>
        <w:pStyle w:val="Ttulo61"/>
        <w:spacing w:before="103"/>
        <w:ind w:left="279"/>
        <w:jc w:val="left"/>
      </w:pPr>
      <w:r>
        <w:rPr>
          <w:color w:val="231F20"/>
        </w:rPr>
        <w:t>COMENTARIO</w:t>
      </w:r>
    </w:p>
    <w:p w:rsidR="003B03F0" w:rsidRDefault="003B03F0">
      <w:pPr>
        <w:sectPr w:rsidR="003B03F0">
          <w:type w:val="continuous"/>
          <w:pgSz w:w="11060" w:h="15600"/>
          <w:pgMar w:top="1460" w:right="0" w:bottom="280" w:left="0" w:header="720" w:footer="720" w:gutter="0"/>
          <w:cols w:num="2" w:space="720" w:equalWidth="0">
            <w:col w:w="5368" w:space="40"/>
            <w:col w:w="5652"/>
          </w:cols>
        </w:sectPr>
      </w:pPr>
    </w:p>
    <w:p w:rsidR="003B03F0" w:rsidRDefault="00AB186B">
      <w:pPr>
        <w:pStyle w:val="Textoindependiente"/>
        <w:tabs>
          <w:tab w:val="left" w:pos="5673"/>
          <w:tab w:val="left" w:pos="10414"/>
        </w:tabs>
        <w:spacing w:line="233" w:lineRule="exact"/>
        <w:ind w:left="694"/>
      </w:pPr>
      <w:proofErr w:type="gramStart"/>
      <w:r>
        <w:rPr>
          <w:color w:val="231F20"/>
        </w:rPr>
        <w:t>neuropsiquiátricos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levofloxacina,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señalando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</w:rPr>
        <w:tab/>
      </w:r>
      <w:r>
        <w:rPr>
          <w:color w:val="231F20"/>
          <w:u w:val="thick" w:color="939598"/>
        </w:rPr>
        <w:t xml:space="preserve"> </w:t>
      </w:r>
      <w:r>
        <w:rPr>
          <w:color w:val="231F20"/>
          <w:u w:val="thick" w:color="939598"/>
        </w:rPr>
        <w:tab/>
      </w:r>
    </w:p>
    <w:p w:rsidR="003B03F0" w:rsidRDefault="003B03F0">
      <w:pPr>
        <w:spacing w:line="233" w:lineRule="exact"/>
        <w:sectPr w:rsidR="003B03F0">
          <w:type w:val="continuous"/>
          <w:pgSz w:w="11060" w:h="15600"/>
          <w:pgMar w:top="1460" w:right="0" w:bottom="280" w:left="0" w:header="720" w:footer="720" w:gutter="0"/>
          <w:cols w:space="720"/>
        </w:sectPr>
      </w:pPr>
    </w:p>
    <w:p w:rsidR="003B03F0" w:rsidRDefault="00AB186B">
      <w:pPr>
        <w:pStyle w:val="Textoindependiente"/>
        <w:spacing w:line="230" w:lineRule="auto"/>
        <w:ind w:left="694"/>
      </w:pPr>
      <w:proofErr w:type="gramStart"/>
      <w:r>
        <w:rPr>
          <w:color w:val="231F20"/>
        </w:rPr>
        <w:t>las</w:t>
      </w:r>
      <w:proofErr w:type="gramEnd"/>
      <w:r>
        <w:rPr>
          <w:color w:val="231F20"/>
        </w:rPr>
        <w:t xml:space="preserve"> fluoroquinolonas se han asociado con suicidio, especialmente en pacientes con depresión.</w:t>
      </w:r>
    </w:p>
    <w:p w:rsidR="003B03F0" w:rsidRDefault="003B03F0">
      <w:pPr>
        <w:pStyle w:val="Textoindependiente"/>
      </w:pPr>
    </w:p>
    <w:p w:rsidR="003B03F0" w:rsidRDefault="003B03F0">
      <w:pPr>
        <w:pStyle w:val="Textoindependiente"/>
        <w:spacing w:before="8"/>
        <w:rPr>
          <w:sz w:val="20"/>
        </w:rPr>
      </w:pPr>
    </w:p>
    <w:p w:rsidR="003B03F0" w:rsidRDefault="00AB186B">
      <w:pPr>
        <w:pStyle w:val="Ttulo61"/>
        <w:spacing w:line="147" w:lineRule="exact"/>
        <w:ind w:left="694"/>
        <w:jc w:val="left"/>
      </w:pPr>
      <w:r>
        <w:rPr>
          <w:color w:val="231F20"/>
        </w:rPr>
        <w:t>ADVERTENCIAS Y PRECAUCIONES</w:t>
      </w:r>
    </w:p>
    <w:p w:rsidR="003B03F0" w:rsidRDefault="00AB186B">
      <w:pPr>
        <w:pStyle w:val="Textoindependiente"/>
        <w:spacing w:before="120" w:line="230" w:lineRule="auto"/>
        <w:ind w:left="278" w:right="702"/>
        <w:jc w:val="both"/>
      </w:pPr>
      <w:r>
        <w:br w:type="column"/>
      </w:r>
      <w:r>
        <w:rPr>
          <w:color w:val="231F20"/>
        </w:rPr>
        <w:t>Las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fluoroquinolonas,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medicamentos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antimicrobianos </w:t>
      </w:r>
      <w:r>
        <w:rPr>
          <w:color w:val="231F20"/>
          <w:spacing w:val="16"/>
        </w:rPr>
        <w:t xml:space="preserve">clasificados </w:t>
      </w:r>
      <w:proofErr w:type="gramStart"/>
      <w:r>
        <w:rPr>
          <w:color w:val="231F20"/>
          <w:spacing w:val="13"/>
        </w:rPr>
        <w:t>como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  <w:spacing w:val="9"/>
        </w:rPr>
        <w:t xml:space="preserve">de </w:t>
      </w:r>
      <w:r>
        <w:rPr>
          <w:color w:val="231F20"/>
          <w:spacing w:val="15"/>
        </w:rPr>
        <w:t xml:space="preserve">primera </w:t>
      </w:r>
      <w:r>
        <w:rPr>
          <w:color w:val="231F20"/>
          <w:spacing w:val="16"/>
        </w:rPr>
        <w:t xml:space="preserve">generación </w:t>
      </w:r>
      <w:r>
        <w:rPr>
          <w:color w:val="231F20"/>
        </w:rPr>
        <w:t>(norfloxacina), segunda (ciprofloxacina, ofloxacina) y tercera generación (levofloxacina,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moxifloxacina)</w:t>
      </w:r>
    </w:p>
    <w:p w:rsidR="003B03F0" w:rsidRDefault="003B03F0">
      <w:pPr>
        <w:spacing w:line="230" w:lineRule="auto"/>
        <w:jc w:val="both"/>
        <w:sectPr w:rsidR="003B03F0">
          <w:type w:val="continuous"/>
          <w:pgSz w:w="11060" w:h="15600"/>
          <w:pgMar w:top="1460" w:right="0" w:bottom="280" w:left="0" w:header="720" w:footer="720" w:gutter="0"/>
          <w:cols w:num="2" w:space="720" w:equalWidth="0">
            <w:col w:w="5369" w:space="40"/>
            <w:col w:w="5651"/>
          </w:cols>
        </w:sectPr>
      </w:pPr>
    </w:p>
    <w:p w:rsidR="003B03F0" w:rsidRDefault="00AB186B">
      <w:pPr>
        <w:pStyle w:val="Textoindependiente"/>
        <w:tabs>
          <w:tab w:val="left" w:pos="5418"/>
          <w:tab w:val="left" w:pos="5686"/>
        </w:tabs>
        <w:spacing w:line="211" w:lineRule="exact"/>
        <w:ind w:left="677"/>
      </w:pPr>
      <w:r>
        <w:rPr>
          <w:color w:val="231F20"/>
          <w:u w:val="thick" w:color="939598"/>
        </w:rPr>
        <w:t xml:space="preserve"> </w:t>
      </w:r>
      <w:r>
        <w:rPr>
          <w:color w:val="231F20"/>
          <w:u w:val="thick" w:color="939598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tienen</w:t>
      </w:r>
      <w:proofErr w:type="gramEnd"/>
      <w:r>
        <w:rPr>
          <w:color w:val="231F20"/>
        </w:rPr>
        <w:t xml:space="preserve"> variadas indicaciones de uso y son de una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alta</w:t>
      </w:r>
    </w:p>
    <w:p w:rsidR="003B03F0" w:rsidRDefault="00AB186B">
      <w:pPr>
        <w:pStyle w:val="Textoindependiente"/>
        <w:spacing w:line="248" w:lineRule="exact"/>
        <w:ind w:left="5686"/>
      </w:pPr>
      <w:proofErr w:type="gramStart"/>
      <w:r>
        <w:rPr>
          <w:color w:val="231F20"/>
        </w:rPr>
        <w:t>frecuencia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consumo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prescripción.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reacciones</w:t>
      </w:r>
    </w:p>
    <w:p w:rsidR="003B03F0" w:rsidRDefault="003B03F0">
      <w:pPr>
        <w:spacing w:line="248" w:lineRule="exact"/>
        <w:sectPr w:rsidR="003B03F0">
          <w:type w:val="continuous"/>
          <w:pgSz w:w="11060" w:h="15600"/>
          <w:pgMar w:top="1460" w:right="0" w:bottom="280" w:left="0" w:header="720" w:footer="720" w:gutter="0"/>
          <w:cols w:space="720"/>
        </w:sectPr>
      </w:pPr>
    </w:p>
    <w:p w:rsidR="003B03F0" w:rsidRDefault="00AB186B">
      <w:pPr>
        <w:pStyle w:val="Ttulo61"/>
        <w:spacing w:before="101"/>
        <w:ind w:left="694"/>
      </w:pPr>
      <w:r>
        <w:rPr>
          <w:color w:val="231F20"/>
        </w:rPr>
        <w:t>Efectos sobre el sistema nervioso central</w:t>
      </w:r>
    </w:p>
    <w:p w:rsidR="003B03F0" w:rsidRDefault="00AB186B">
      <w:pPr>
        <w:pStyle w:val="Textoindependiente"/>
        <w:spacing w:before="109" w:line="230" w:lineRule="auto"/>
        <w:ind w:left="693"/>
        <w:jc w:val="both"/>
      </w:pPr>
      <w:r>
        <w:rPr>
          <w:color w:val="231F20"/>
        </w:rPr>
        <w:t xml:space="preserve">Las fluoroquinolonas, incluida la levofloxacina, se </w:t>
      </w:r>
      <w:proofErr w:type="gramStart"/>
      <w:r>
        <w:rPr>
          <w:color w:val="231F20"/>
        </w:rPr>
        <w:t>han</w:t>
      </w:r>
      <w:proofErr w:type="gramEnd"/>
      <w:r>
        <w:rPr>
          <w:color w:val="231F20"/>
        </w:rPr>
        <w:t xml:space="preserve"> asociado con un mayor riesgo de efectos 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el </w:t>
      </w:r>
      <w:r>
        <w:rPr>
          <w:color w:val="231F20"/>
          <w:spacing w:val="8"/>
        </w:rPr>
        <w:t xml:space="preserve">sistema nervioso central (SNC), </w:t>
      </w:r>
      <w:r>
        <w:rPr>
          <w:color w:val="231F20"/>
          <w:spacing w:val="9"/>
        </w:rPr>
        <w:t xml:space="preserve">incluyendo </w:t>
      </w:r>
      <w:r>
        <w:rPr>
          <w:color w:val="231F20"/>
        </w:rPr>
        <w:t>convulsiones, psicosis tóxicas, aumento de 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presión intracraneal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(incluyendo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pseudotumor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cerebral).</w:t>
      </w:r>
    </w:p>
    <w:p w:rsidR="003B03F0" w:rsidRDefault="00AB186B">
      <w:pPr>
        <w:pStyle w:val="Textoindependiente"/>
        <w:spacing w:before="114" w:line="230" w:lineRule="auto"/>
        <w:ind w:left="693" w:firstLine="78"/>
        <w:jc w:val="both"/>
      </w:pPr>
      <w:r>
        <w:rPr>
          <w:color w:val="231F20"/>
        </w:rPr>
        <w:t xml:space="preserve">Pueden producir estimulación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</w:rPr>
        <w:t xml:space="preserve"> sistema nervioso central, provocando temblores, inquietud, ansiedad, aturdimiento, confusión, alucinaciones, paranoia, </w:t>
      </w:r>
      <w:r>
        <w:rPr>
          <w:color w:val="231F20"/>
          <w:spacing w:val="11"/>
        </w:rPr>
        <w:t>depresión,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11"/>
        </w:rPr>
        <w:t>pesadillas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11"/>
        </w:rPr>
        <w:t>insomnio.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9"/>
        </w:rPr>
        <w:t xml:space="preserve">También pensamientos </w:t>
      </w:r>
      <w:r>
        <w:rPr>
          <w:color w:val="231F20"/>
          <w:spacing w:val="8"/>
        </w:rPr>
        <w:t xml:space="preserve">suicidas, intentos </w:t>
      </w:r>
      <w:r>
        <w:rPr>
          <w:color w:val="231F20"/>
        </w:rPr>
        <w:t xml:space="preserve">y </w:t>
      </w:r>
      <w:r>
        <w:rPr>
          <w:color w:val="231F20"/>
          <w:spacing w:val="9"/>
        </w:rPr>
        <w:t xml:space="preserve">suicidios, </w:t>
      </w:r>
      <w:r>
        <w:rPr>
          <w:color w:val="231F20"/>
        </w:rPr>
        <w:t>especialmente en pacientes con antecedentes de depresión, o factor de riesgo subyacente para depresión.</w:t>
      </w:r>
    </w:p>
    <w:p w:rsidR="003B03F0" w:rsidRDefault="00AB186B">
      <w:pPr>
        <w:pStyle w:val="Textoindependiente"/>
        <w:spacing w:before="116" w:line="230" w:lineRule="auto"/>
        <w:ind w:left="693"/>
        <w:jc w:val="both"/>
      </w:pPr>
      <w:r>
        <w:rPr>
          <w:color w:val="231F20"/>
        </w:rPr>
        <w:t>Estos efectos pueden aparecer aún con la primera dosis.</w:t>
      </w:r>
    </w:p>
    <w:p w:rsidR="003B03F0" w:rsidRDefault="00AB186B">
      <w:pPr>
        <w:pStyle w:val="Textoindependiente"/>
        <w:spacing w:before="112" w:line="230" w:lineRule="auto"/>
        <w:ind w:left="693"/>
        <w:jc w:val="both"/>
      </w:pPr>
      <w:r>
        <w:rPr>
          <w:color w:val="231F20"/>
        </w:rPr>
        <w:t xml:space="preserve">Ante una reacción de </w:t>
      </w:r>
      <w:proofErr w:type="gramStart"/>
      <w:r>
        <w:rPr>
          <w:color w:val="231F20"/>
        </w:rPr>
        <w:t>este</w:t>
      </w:r>
      <w:proofErr w:type="gramEnd"/>
      <w:r>
        <w:rPr>
          <w:color w:val="231F20"/>
        </w:rPr>
        <w:t xml:space="preserve"> tipo se debe suspender la levofloxacina e instaurar medidas apropiadas.</w:t>
      </w:r>
    </w:p>
    <w:p w:rsidR="003B03F0" w:rsidRDefault="00AB186B">
      <w:pPr>
        <w:pStyle w:val="Textoindependiente"/>
        <w:spacing w:before="112" w:line="230" w:lineRule="auto"/>
        <w:ind w:left="693"/>
        <w:jc w:val="both"/>
      </w:pPr>
      <w:r>
        <w:rPr>
          <w:color w:val="231F20"/>
        </w:rPr>
        <w:t>Como otras fluoroquinolonas, levofloxacina debe utilizarse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precaución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trastorno </w:t>
      </w:r>
      <w:r>
        <w:rPr>
          <w:color w:val="231F20"/>
          <w:spacing w:val="5"/>
        </w:rPr>
        <w:t xml:space="preserve">conocido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sospechado </w:t>
      </w:r>
      <w:r>
        <w:rPr>
          <w:color w:val="231F20"/>
          <w:spacing w:val="4"/>
        </w:rPr>
        <w:t xml:space="preserve">del SNC que pueda </w:t>
      </w:r>
      <w:r>
        <w:rPr>
          <w:color w:val="231F20"/>
        </w:rPr>
        <w:t>predisponerlos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convulsiones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reducir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umbral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para éstas (arteriosclerosis cerebral grave, epilepsia) o en presencia de otros factores de riesgo (ciertos tratamientos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farmacológicos,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disfunción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renal).</w:t>
      </w:r>
    </w:p>
    <w:p w:rsidR="003B03F0" w:rsidRDefault="00AB186B">
      <w:pPr>
        <w:pStyle w:val="Textoindependiente"/>
        <w:spacing w:before="107"/>
        <w:ind w:left="714"/>
        <w:jc w:val="both"/>
      </w:pPr>
      <w:r>
        <w:rPr>
          <w:color w:val="231F20"/>
        </w:rPr>
        <w:t>Alerta completo en:</w:t>
      </w:r>
    </w:p>
    <w:p w:rsidR="003B03F0" w:rsidRDefault="00AB186B">
      <w:pPr>
        <w:pStyle w:val="Textoindependiente"/>
        <w:spacing w:before="109" w:line="230" w:lineRule="auto"/>
        <w:ind w:left="693" w:right="1"/>
        <w:jc w:val="both"/>
      </w:pPr>
      <w:r>
        <w:rPr>
          <w:color w:val="231F20"/>
        </w:rPr>
        <w:t>FDA - Drug Safety Labeling Changes. LEVAQUIN (NDA-020634). (LEVOFLOXACIN). Safety</w:t>
      </w:r>
    </w:p>
    <w:p w:rsidR="003B03F0" w:rsidRDefault="00AB186B">
      <w:pPr>
        <w:pStyle w:val="Textoindependiente"/>
        <w:spacing w:before="1" w:line="230" w:lineRule="auto"/>
        <w:ind w:left="693" w:right="1"/>
        <w:jc w:val="both"/>
      </w:pPr>
      <w:r>
        <w:rPr>
          <w:color w:val="231F20"/>
        </w:rPr>
        <w:t>Labeling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Drug Evaluation and Research (CDER). 8 de febrero de 2017.</w:t>
      </w:r>
    </w:p>
    <w:p w:rsidR="003B03F0" w:rsidRDefault="00AB186B">
      <w:pPr>
        <w:pStyle w:val="Textoindependiente"/>
        <w:spacing w:line="230" w:lineRule="auto"/>
        <w:ind w:left="278" w:right="702"/>
        <w:jc w:val="both"/>
      </w:pPr>
      <w:r>
        <w:br w:type="column"/>
      </w:r>
      <w:proofErr w:type="gramStart"/>
      <w:r>
        <w:rPr>
          <w:color w:val="231F20"/>
        </w:rPr>
        <w:t>adversas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conocidas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resumen </w:t>
      </w:r>
      <w:r>
        <w:rPr>
          <w:color w:val="231F20"/>
          <w:spacing w:val="4"/>
        </w:rPr>
        <w:t xml:space="preserve">resalta </w:t>
      </w:r>
      <w:r>
        <w:rPr>
          <w:color w:val="231F20"/>
          <w:spacing w:val="2"/>
        </w:rPr>
        <w:t xml:space="preserve">la </w:t>
      </w:r>
      <w:r>
        <w:rPr>
          <w:color w:val="231F20"/>
          <w:spacing w:val="4"/>
        </w:rPr>
        <w:t xml:space="preserve">importancia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vigilar </w:t>
      </w:r>
      <w:r>
        <w:rPr>
          <w:color w:val="231F20"/>
          <w:spacing w:val="3"/>
        </w:rPr>
        <w:t xml:space="preserve">sus </w:t>
      </w:r>
      <w:r>
        <w:rPr>
          <w:color w:val="231F20"/>
          <w:spacing w:val="4"/>
        </w:rPr>
        <w:t xml:space="preserve">efectos </w:t>
      </w:r>
      <w:r>
        <w:rPr>
          <w:color w:val="231F20"/>
        </w:rPr>
        <w:t>indeseables sobre el sistema nervioso central, aún cuando se prescriban y usen las fluorquinolonas de última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generación.</w:t>
      </w:r>
    </w:p>
    <w:p w:rsidR="003B03F0" w:rsidRDefault="003B03F0">
      <w:pPr>
        <w:pStyle w:val="Textoindependiente"/>
        <w:spacing w:before="8"/>
        <w:rPr>
          <w:sz w:val="20"/>
        </w:rPr>
      </w:pPr>
    </w:p>
    <w:p w:rsidR="003B03F0" w:rsidRDefault="00AB186B">
      <w:pPr>
        <w:pStyle w:val="Ttulo61"/>
      </w:pPr>
      <w:r>
        <w:rPr>
          <w:color w:val="231F20"/>
        </w:rPr>
        <w:t>KETOCONAZOL ORAL</w:t>
      </w:r>
    </w:p>
    <w:p w:rsidR="003B03F0" w:rsidRDefault="003B03F0">
      <w:pPr>
        <w:pStyle w:val="Textoindependiente"/>
        <w:spacing w:before="9"/>
        <w:rPr>
          <w:b/>
          <w:sz w:val="7"/>
        </w:rPr>
      </w:pPr>
    </w:p>
    <w:p w:rsidR="003B03F0" w:rsidRDefault="003616CA">
      <w:pPr>
        <w:pStyle w:val="Textoindependiente"/>
        <w:spacing w:line="30" w:lineRule="exact"/>
        <w:ind w:left="25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6" style="width:234.55pt;height:1.45pt;mso-position-horizontal-relative:char;mso-position-vertical-relative:line" coordsize="4691,29">
            <v:line id="_x0000_s1057" style="position:absolute" from="0,14" to="4691,14" strokecolor="#939598" strokeweight=".5mm"/>
            <w10:anchorlock/>
          </v:group>
        </w:pict>
      </w:r>
    </w:p>
    <w:p w:rsidR="003B03F0" w:rsidRDefault="00AB186B">
      <w:pPr>
        <w:spacing w:before="123" w:line="230" w:lineRule="auto"/>
        <w:ind w:left="278" w:right="702"/>
        <w:jc w:val="both"/>
        <w:rPr>
          <w:b/>
        </w:rPr>
      </w:pPr>
      <w:r>
        <w:rPr>
          <w:b/>
          <w:color w:val="231F20"/>
        </w:rPr>
        <w:t>La FDA advierte que se sigue recetando incluso para tratar infecciones en uñas y piel, a pesar de que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su</w:t>
      </w:r>
      <w:r>
        <w:rPr>
          <w:b/>
          <w:color w:val="231F20"/>
          <w:spacing w:val="-23"/>
        </w:rPr>
        <w:t xml:space="preserve"> </w:t>
      </w:r>
      <w:proofErr w:type="gramStart"/>
      <w:r>
        <w:rPr>
          <w:b/>
          <w:color w:val="231F20"/>
        </w:rPr>
        <w:t>uso</w:t>
      </w:r>
      <w:proofErr w:type="gramEnd"/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está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relacionado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con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reacciones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fatales.</w:t>
      </w:r>
    </w:p>
    <w:p w:rsidR="003B03F0" w:rsidRDefault="003B03F0">
      <w:pPr>
        <w:pStyle w:val="Textoindependiente"/>
        <w:spacing w:before="4"/>
        <w:rPr>
          <w:b/>
          <w:sz w:val="21"/>
        </w:rPr>
      </w:pPr>
    </w:p>
    <w:p w:rsidR="003B03F0" w:rsidRDefault="00AB186B">
      <w:pPr>
        <w:pStyle w:val="Textoindependiente"/>
        <w:spacing w:before="1" w:line="230" w:lineRule="auto"/>
        <w:ind w:left="278" w:right="702"/>
        <w:jc w:val="both"/>
      </w:pP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actualiza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comunicado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seguridad de medicamentos, en el que se limita el uso de </w:t>
      </w:r>
      <w:r>
        <w:rPr>
          <w:color w:val="231F20"/>
          <w:spacing w:val="5"/>
        </w:rPr>
        <w:t xml:space="preserve">ketoconazol </w:t>
      </w:r>
      <w:r>
        <w:rPr>
          <w:color w:val="231F20"/>
          <w:spacing w:val="4"/>
        </w:rPr>
        <w:t xml:space="preserve">por vía oral, </w:t>
      </w:r>
      <w:r>
        <w:rPr>
          <w:color w:val="231F20"/>
          <w:spacing w:val="5"/>
        </w:rPr>
        <w:t xml:space="preserve">debido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lesiones </w:t>
      </w:r>
      <w:r>
        <w:rPr>
          <w:color w:val="231F20"/>
          <w:spacing w:val="2"/>
        </w:rPr>
        <w:t xml:space="preserve">potencialmente fatales </w:t>
      </w:r>
      <w:r>
        <w:rPr>
          <w:color w:val="231F20"/>
        </w:rPr>
        <w:t xml:space="preserve">en </w:t>
      </w:r>
      <w:r>
        <w:rPr>
          <w:color w:val="231F20"/>
          <w:spacing w:val="2"/>
        </w:rPr>
        <w:t xml:space="preserve">hígado, riesgo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interacciones medicamentosas </w:t>
      </w:r>
      <w:r>
        <w:rPr>
          <w:color w:val="231F20"/>
        </w:rPr>
        <w:t xml:space="preserve">y </w:t>
      </w:r>
      <w:r>
        <w:rPr>
          <w:color w:val="231F20"/>
          <w:spacing w:val="3"/>
        </w:rPr>
        <w:t xml:space="preserve">problemas </w:t>
      </w:r>
      <w:r>
        <w:rPr>
          <w:color w:val="231F20"/>
        </w:rPr>
        <w:t>de glándulas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suprarrenales.</w:t>
      </w:r>
    </w:p>
    <w:p w:rsidR="003B03F0" w:rsidRDefault="003B03F0">
      <w:pPr>
        <w:pStyle w:val="Textoindependiente"/>
        <w:spacing w:before="10"/>
        <w:rPr>
          <w:sz w:val="20"/>
        </w:rPr>
      </w:pPr>
    </w:p>
    <w:p w:rsidR="003B03F0" w:rsidRDefault="00AB186B">
      <w:pPr>
        <w:pStyle w:val="Ttulo61"/>
      </w:pPr>
      <w:r>
        <w:rPr>
          <w:color w:val="231F20"/>
        </w:rPr>
        <w:t>AVISO DE SEGURIDAD</w:t>
      </w:r>
    </w:p>
    <w:p w:rsidR="003B03F0" w:rsidRDefault="003B03F0">
      <w:pPr>
        <w:pStyle w:val="Textoindependiente"/>
        <w:spacing w:before="11"/>
        <w:rPr>
          <w:b/>
          <w:sz w:val="5"/>
        </w:rPr>
      </w:pPr>
    </w:p>
    <w:p w:rsidR="003B03F0" w:rsidRDefault="003616CA">
      <w:pPr>
        <w:pStyle w:val="Textoindependiente"/>
        <w:spacing w:line="30" w:lineRule="exact"/>
        <w:ind w:left="25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4" style="width:234.55pt;height:1.45pt;mso-position-horizontal-relative:char;mso-position-vertical-relative:line" coordsize="4691,29">
            <v:line id="_x0000_s1055" style="position:absolute" from="0,14" to="4691,14" strokecolor="#939598" strokeweight=".5mm"/>
            <w10:anchorlock/>
          </v:group>
        </w:pict>
      </w:r>
    </w:p>
    <w:p w:rsidR="003B03F0" w:rsidRDefault="00AB186B">
      <w:pPr>
        <w:pStyle w:val="Textoindependiente"/>
        <w:spacing w:before="144" w:line="230" w:lineRule="auto"/>
        <w:ind w:left="277" w:right="703"/>
        <w:jc w:val="both"/>
      </w:pPr>
      <w:r>
        <w:rPr>
          <w:color w:val="231F20"/>
        </w:rPr>
        <w:t xml:space="preserve">Se advierte a los profesionales de salud que eviten recetar formas orales de ketoconazol (fármaco antifúngico) para tratar dérmato y onicomicosis. Su uso con lleva riesgo de daño hepático grave, problemas de </w:t>
      </w:r>
      <w:proofErr w:type="gramStart"/>
      <w:r>
        <w:rPr>
          <w:color w:val="231F20"/>
        </w:rPr>
        <w:t>las  glándulas</w:t>
      </w:r>
      <w:proofErr w:type="gramEnd"/>
      <w:r>
        <w:rPr>
          <w:color w:val="231F20"/>
        </w:rPr>
        <w:t xml:space="preserve"> suprarrenales e interacciones medicamentosas perjudiciales. Dicho riesgo supera los beneficios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</w:rPr>
        <w:t xml:space="preserve"> tratamiento.</w:t>
      </w:r>
    </w:p>
    <w:p w:rsidR="003B03F0" w:rsidRDefault="00AB186B">
      <w:pPr>
        <w:pStyle w:val="Textoindependiente"/>
        <w:spacing w:before="5" w:line="230" w:lineRule="auto"/>
        <w:ind w:left="277" w:right="703"/>
        <w:jc w:val="both"/>
      </w:pPr>
      <w:r>
        <w:rPr>
          <w:color w:val="231F20"/>
        </w:rPr>
        <w:t>En 2013, la FDA aprobó cambios de etiquetado para tabletas orales de ketoconazol por riesgos graves y eliminó la indicación para infecciones dérmato y onicomicosis. Aun así, un análisis de seguridad de la Agencia, de 18 meses de duración, encontró que todavía se receta ketoconazol oral para este tipo de afecciones.</w:t>
      </w:r>
    </w:p>
    <w:p w:rsidR="003B03F0" w:rsidRDefault="003B03F0">
      <w:pPr>
        <w:spacing w:line="230" w:lineRule="auto"/>
        <w:jc w:val="both"/>
        <w:sectPr w:rsidR="003B03F0">
          <w:type w:val="continuous"/>
          <w:pgSz w:w="11060" w:h="15600"/>
          <w:pgMar w:top="1460" w:right="0" w:bottom="280" w:left="0" w:header="720" w:footer="720" w:gutter="0"/>
          <w:cols w:num="2" w:space="720" w:equalWidth="0">
            <w:col w:w="5368" w:space="40"/>
            <w:col w:w="5652"/>
          </w:cols>
        </w:sectPr>
      </w:pPr>
    </w:p>
    <w:p w:rsidR="003B03F0" w:rsidRDefault="00AB186B">
      <w:pPr>
        <w:tabs>
          <w:tab w:val="left" w:pos="2504"/>
        </w:tabs>
        <w:spacing w:before="31"/>
        <w:ind w:right="-15"/>
        <w:jc w:val="right"/>
        <w:rPr>
          <w:rFonts w:ascii="Arial"/>
          <w:i/>
          <w:sz w:val="24"/>
        </w:rPr>
      </w:pPr>
      <w:bookmarkStart w:id="0" w:name="Página_33"/>
      <w:bookmarkEnd w:id="0"/>
      <w:r>
        <w:rPr>
          <w:rFonts w:ascii="Arial"/>
          <w:i/>
          <w:color w:val="231F20"/>
          <w:spacing w:val="-1"/>
          <w:w w:val="90"/>
          <w:sz w:val="24"/>
          <w:u w:val="thick" w:color="939598"/>
        </w:rPr>
        <w:lastRenderedPageBreak/>
        <w:t>Advertencias</w:t>
      </w:r>
      <w:r>
        <w:rPr>
          <w:rFonts w:ascii="Arial"/>
          <w:i/>
          <w:color w:val="231F20"/>
          <w:spacing w:val="-1"/>
          <w:sz w:val="24"/>
          <w:u w:val="thick" w:color="939598"/>
        </w:rPr>
        <w:tab/>
      </w:r>
    </w:p>
    <w:p w:rsidR="003B03F0" w:rsidRDefault="00AB186B">
      <w:pPr>
        <w:spacing w:before="43"/>
        <w:ind w:right="832"/>
        <w:jc w:val="right"/>
        <w:rPr>
          <w:i/>
          <w:sz w:val="10"/>
        </w:rPr>
      </w:pPr>
      <w:r>
        <w:rPr>
          <w:i/>
          <w:color w:val="231F20"/>
          <w:sz w:val="10"/>
        </w:rPr>
        <w:t>ALERGIA &amp; INMUNOLOGÍA CLÍNICA</w:t>
      </w:r>
    </w:p>
    <w:p w:rsidR="003B03F0" w:rsidRDefault="003B03F0">
      <w:pPr>
        <w:pStyle w:val="Textoindependiente"/>
        <w:rPr>
          <w:i/>
          <w:sz w:val="20"/>
        </w:rPr>
      </w:pPr>
    </w:p>
    <w:p w:rsidR="003B03F0" w:rsidRDefault="003B03F0">
      <w:pPr>
        <w:pStyle w:val="Textoindependiente"/>
        <w:spacing w:before="7"/>
        <w:rPr>
          <w:i/>
          <w:sz w:val="17"/>
        </w:rPr>
      </w:pPr>
    </w:p>
    <w:p w:rsidR="003B03F0" w:rsidRDefault="00AB186B">
      <w:pPr>
        <w:pStyle w:val="Textoindependiente"/>
        <w:spacing w:before="71" w:line="230" w:lineRule="auto"/>
        <w:ind w:left="694" w:right="5685"/>
        <w:jc w:val="both"/>
      </w:pPr>
      <w:bookmarkStart w:id="1" w:name="_GoBack"/>
      <w:bookmarkEnd w:id="1"/>
      <w:r>
        <w:rPr>
          <w:color w:val="231F20"/>
        </w:rPr>
        <w:t>Desde los cambios realizados a las etiquetas, se ha informado la muerte de un paciente debido a una insuficiencia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hepática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relacionada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 había sido recetado para tratar infección fúngica de uñas.</w:t>
      </w:r>
    </w:p>
    <w:p w:rsidR="003B03F0" w:rsidRDefault="00AB186B">
      <w:pPr>
        <w:pStyle w:val="Textoindependiente"/>
        <w:spacing w:before="4" w:line="230" w:lineRule="auto"/>
        <w:ind w:left="694" w:right="5686"/>
        <w:jc w:val="both"/>
      </w:pPr>
      <w:r>
        <w:rPr>
          <w:color w:val="231F20"/>
        </w:rPr>
        <w:t>La FDA determinó reservarlo para infecciones fúngicas graves.</w:t>
      </w:r>
    </w:p>
    <w:p w:rsidR="003B03F0" w:rsidRDefault="00AB186B">
      <w:pPr>
        <w:pStyle w:val="Textoindependiente"/>
        <w:spacing w:before="1" w:line="230" w:lineRule="auto"/>
        <w:ind w:left="694" w:right="5685"/>
        <w:jc w:val="both"/>
      </w:pP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profesionales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deben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usar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tabletas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ketoconazol solamente </w:t>
      </w:r>
      <w:r>
        <w:rPr>
          <w:color w:val="231F20"/>
          <w:spacing w:val="3"/>
        </w:rPr>
        <w:t xml:space="preserve">para </w:t>
      </w:r>
      <w:r>
        <w:rPr>
          <w:color w:val="231F20"/>
          <w:spacing w:val="4"/>
        </w:rPr>
        <w:t xml:space="preserve">tratar infecciones </w:t>
      </w:r>
      <w:r>
        <w:rPr>
          <w:color w:val="231F20"/>
        </w:rPr>
        <w:t>fúngicas graves en caso de que no existan otras alternativas.</w:t>
      </w:r>
    </w:p>
    <w:p w:rsidR="003B03F0" w:rsidRDefault="00AB186B">
      <w:pPr>
        <w:pStyle w:val="Textoindependiente"/>
        <w:spacing w:before="4" w:line="230" w:lineRule="auto"/>
        <w:ind w:left="693" w:right="5685"/>
        <w:jc w:val="both"/>
      </w:pPr>
      <w:r>
        <w:rPr>
          <w:color w:val="231F20"/>
        </w:rPr>
        <w:t>Las micosis de piel y uñas en personas sin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otras patologías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constituyen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amenaza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vidas </w:t>
      </w:r>
      <w:r>
        <w:rPr>
          <w:color w:val="231F20"/>
          <w:spacing w:val="-7"/>
        </w:rPr>
        <w:t xml:space="preserve">y, </w:t>
      </w:r>
      <w:r>
        <w:rPr>
          <w:color w:val="231F20"/>
        </w:rPr>
        <w:t>por lo tanto, los riesgos asociados con el ketoconazol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superan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beneficios.</w:t>
      </w:r>
    </w:p>
    <w:p w:rsidR="003B03F0" w:rsidRDefault="00AB186B">
      <w:pPr>
        <w:pStyle w:val="Textoindependiente"/>
        <w:spacing w:before="3" w:line="230" w:lineRule="auto"/>
        <w:ind w:left="693" w:right="5685"/>
        <w:jc w:val="both"/>
      </w:pPr>
      <w:r>
        <w:rPr>
          <w:color w:val="231F20"/>
        </w:rPr>
        <w:t>Los pacientes deben recibir atención médica de inmediato en caso de presentar: pérdida de apetito, náuseas, vómitos o malestar abdominal; ictericia; coluria, acolia o dolor en hipocondrio derecho.</w:t>
      </w:r>
    </w:p>
    <w:p w:rsidR="003B03F0" w:rsidRDefault="00AB186B">
      <w:pPr>
        <w:pStyle w:val="Textoindependiente"/>
        <w:spacing w:before="3" w:line="230" w:lineRule="auto"/>
        <w:ind w:left="693" w:right="5685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tópicas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han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daños hepáticos,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glándulas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suprarrenales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 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interacciones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medicamentos.</w:t>
      </w:r>
    </w:p>
    <w:p w:rsidR="003B03F0" w:rsidRDefault="003B03F0">
      <w:pPr>
        <w:pStyle w:val="Textoindependiente"/>
        <w:spacing w:before="8"/>
        <w:rPr>
          <w:sz w:val="20"/>
        </w:rPr>
      </w:pPr>
    </w:p>
    <w:p w:rsidR="003B03F0" w:rsidRDefault="003616CA">
      <w:pPr>
        <w:pStyle w:val="Ttulo61"/>
        <w:ind w:left="693"/>
      </w:pPr>
      <w:r>
        <w:pict>
          <v:line id="_x0000_s1053" style="position:absolute;left:0;text-align:left;z-index:251629056;mso-wrap-distance-left:0;mso-wrap-distance-right:0;mso-position-horizontal-relative:page" from="34.3pt,17.5pt" to="268.85pt,17.5pt" strokecolor="#939598" strokeweight=".5mm">
            <w10:wrap type="topAndBottom" anchorx="page"/>
          </v:line>
        </w:pict>
      </w:r>
      <w:r w:rsidR="00AB186B">
        <w:rPr>
          <w:color w:val="231F20"/>
        </w:rPr>
        <w:t>REFERENCIAS</w:t>
      </w:r>
    </w:p>
    <w:p w:rsidR="003B03F0" w:rsidRDefault="003616CA">
      <w:pPr>
        <w:pStyle w:val="Textoindependiente"/>
        <w:spacing w:before="93" w:line="463" w:lineRule="auto"/>
        <w:ind w:left="693" w:right="8531"/>
      </w:pPr>
      <w:hyperlink r:id="rId10">
        <w:r w:rsidR="00AB186B">
          <w:rPr>
            <w:color w:val="231F20"/>
          </w:rPr>
          <w:t>http://bit.ly/2ldgNSe</w:t>
        </w:r>
      </w:hyperlink>
      <w:r w:rsidR="00AB186B">
        <w:rPr>
          <w:color w:val="231F20"/>
        </w:rPr>
        <w:t xml:space="preserve"> </w:t>
      </w:r>
      <w:r w:rsidR="00AB186B">
        <w:rPr>
          <w:color w:val="231F20"/>
          <w:spacing w:val="-3"/>
        </w:rPr>
        <w:t>MedWatch</w:t>
      </w:r>
      <w:r w:rsidR="00AB186B">
        <w:rPr>
          <w:color w:val="231F20"/>
          <w:spacing w:val="-23"/>
        </w:rPr>
        <w:t xml:space="preserve"> </w:t>
      </w:r>
      <w:r w:rsidR="00AB186B">
        <w:rPr>
          <w:color w:val="231F20"/>
        </w:rPr>
        <w:t>Online</w:t>
      </w:r>
    </w:p>
    <w:p w:rsidR="003B03F0" w:rsidRDefault="00AB186B">
      <w:pPr>
        <w:pStyle w:val="Textoindependiente"/>
        <w:spacing w:line="251" w:lineRule="exact"/>
        <w:ind w:left="693"/>
        <w:jc w:val="both"/>
      </w:pPr>
      <w:r>
        <w:rPr>
          <w:color w:val="231F20"/>
        </w:rPr>
        <w:t>Formulario pre franqueado FDA Form 3500B</w:t>
      </w: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rPr>
          <w:sz w:val="20"/>
        </w:rPr>
      </w:pPr>
    </w:p>
    <w:p w:rsidR="003B03F0" w:rsidRDefault="003616CA">
      <w:pPr>
        <w:pStyle w:val="Textoindependiente"/>
        <w:spacing w:before="4"/>
        <w:rPr>
          <w:sz w:val="15"/>
        </w:rPr>
      </w:pPr>
      <w:r>
        <w:pict>
          <v:line id="_x0000_s1052" style="position:absolute;z-index:251631104;mso-wrap-distance-left:0;mso-wrap-distance-right:0;mso-position-horizontal-relative:page" from="34.7pt,11.55pt" to="518.9pt,11.55pt" strokecolor="#939598" strokeweight=".5mm">
            <w10:wrap type="topAndBottom" anchorx="page"/>
          </v:line>
        </w:pict>
      </w: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rPr>
          <w:sz w:val="20"/>
        </w:rPr>
      </w:pPr>
    </w:p>
    <w:p w:rsidR="003B03F0" w:rsidRDefault="003B03F0">
      <w:pPr>
        <w:pStyle w:val="Textoindependiente"/>
        <w:spacing w:before="4"/>
        <w:rPr>
          <w:sz w:val="26"/>
        </w:rPr>
      </w:pPr>
    </w:p>
    <w:p w:rsidR="003B03F0" w:rsidRDefault="003616CA">
      <w:pPr>
        <w:spacing w:before="3" w:line="237" w:lineRule="auto"/>
        <w:ind w:left="3129" w:right="972" w:hanging="212"/>
        <w:rPr>
          <w:rFonts w:ascii="Liberation Sans Narrow" w:hAnsi="Liberation Sans Narrow"/>
          <w:sz w:val="66"/>
        </w:rPr>
      </w:pPr>
      <w:r>
        <w:pict>
          <v:group id="_x0000_s1046" style="position:absolute;left:0;text-align:left;margin-left:62.3pt;margin-top:-8pt;width:67.7pt;height:124.25pt;z-index:251667968;mso-position-horizontal-relative:page" coordorigin="1246,-160" coordsize="1354,2485">
            <v:shape id="_x0000_s1051" style="position:absolute;left:1245;top:626;width:1354;height:864" coordorigin="1246,626" coordsize="1354,864" o:spt="100" adj="0,,0" path="m1720,1005r-83,-88l1246,1284r83,88l1720,1005m1888,626r-122,l1766,1043r-398,357l1449,1490r419,-375l1888,1097r,-27l1888,1025r,-399m2477,1400l2078,1043r,-18l2078,626r-122,l1956,1070r,27l1976,1115r420,375l2477,1400t122,-116l2208,917r-84,88l2515,1372r84,-88e" fillcolor="#231f20" stroked="f">
              <v:stroke joinstyle="round"/>
              <v:formulas/>
              <v:path arrowok="t" o:connecttype="segments"/>
            </v:shape>
            <v:shape id="_x0000_s1050" style="position:absolute;left:1571;top:1235;width:702;height:702" coordorigin="1571,1235" coordsize="702,702" path="m1922,1235r-71,7l1786,1263r-60,32l1674,1338r-43,52l1599,1449r-20,66l1571,1586r8,71l1599,1722r32,60l1674,1834r52,43l1786,1909r65,20l1922,1937r71,-8l2059,1909r59,-32l2170,1834r43,-52l2245,1722r21,-65l2273,1586r-7,-71l2245,1449r-32,-59l2170,1338r-52,-43l2059,1263r-66,-21l1922,1235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22;top:-160;width:599;height:719">
              <v:imagedata r:id="rId11" o:title=""/>
            </v:shape>
            <v:shape id="_x0000_s1048" type="#_x0000_t75" style="position:absolute;left:1287;top:1990;width:167;height:257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45;top:-160;width:1354;height:2485" filled="f" stroked="f">
              <v:textbox style="mso-next-textbox:#_x0000_s1047" inset="0,0,0,0">
                <w:txbxContent>
                  <w:p w:rsidR="00AB186B" w:rsidRDefault="00AB186B">
                    <w:pPr>
                      <w:rPr>
                        <w:rFonts w:ascii="Liberation Sans Narrow"/>
                        <w:sz w:val="34"/>
                      </w:rPr>
                    </w:pPr>
                  </w:p>
                  <w:p w:rsidR="00AB186B" w:rsidRDefault="00AB186B">
                    <w:pPr>
                      <w:rPr>
                        <w:rFonts w:ascii="Liberation Sans Narrow"/>
                        <w:sz w:val="34"/>
                      </w:rPr>
                    </w:pPr>
                  </w:p>
                  <w:p w:rsidR="00AB186B" w:rsidRDefault="00AB186B">
                    <w:pPr>
                      <w:rPr>
                        <w:rFonts w:ascii="Liberation Sans Narrow"/>
                        <w:sz w:val="34"/>
                      </w:rPr>
                    </w:pPr>
                  </w:p>
                  <w:p w:rsidR="00AB186B" w:rsidRDefault="00AB186B">
                    <w:pPr>
                      <w:rPr>
                        <w:rFonts w:ascii="Liberation Sans Narrow"/>
                        <w:sz w:val="34"/>
                      </w:rPr>
                    </w:pPr>
                  </w:p>
                  <w:p w:rsidR="00AB186B" w:rsidRDefault="00AB186B">
                    <w:pPr>
                      <w:spacing w:before="1"/>
                      <w:rPr>
                        <w:rFonts w:ascii="Liberation Sans Narrow"/>
                        <w:sz w:val="45"/>
                      </w:rPr>
                    </w:pPr>
                  </w:p>
                  <w:p w:rsidR="00AB186B" w:rsidRDefault="00AB186B">
                    <w:pPr>
                      <w:ind w:left="225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5"/>
                      </w:rPr>
                      <w:t>AAAIC</w:t>
                    </w:r>
                  </w:p>
                </w:txbxContent>
              </v:textbox>
            </v:shape>
            <w10:wrap anchorx="page"/>
          </v:group>
        </w:pict>
      </w:r>
      <w:r w:rsidR="00AB186B">
        <w:rPr>
          <w:rFonts w:ascii="Liberation Sans Narrow" w:hAnsi="Liberation Sans Narrow"/>
          <w:color w:val="231F20"/>
          <w:sz w:val="66"/>
        </w:rPr>
        <w:t>Asociación de Asma, Alergia e Inmunología de Córdoba</w:t>
      </w:r>
    </w:p>
    <w:p w:rsidR="003B03F0" w:rsidRDefault="003616CA">
      <w:pPr>
        <w:pStyle w:val="Textoindependiente"/>
        <w:spacing w:before="1"/>
        <w:rPr>
          <w:rFonts w:ascii="Liberation Sans Narrow"/>
        </w:rPr>
      </w:pPr>
      <w:r>
        <w:pict>
          <v:line id="_x0000_s1045" style="position:absolute;z-index:251633152;mso-wrap-distance-left:0;mso-wrap-distance-right:0;mso-position-horizontal-relative:page" from="145.85pt,16.4pt" to="488.4pt,16.4pt" strokecolor="#231f20" strokeweight="1.2037mm">
            <w10:wrap type="topAndBottom" anchorx="page"/>
          </v:line>
        </w:pict>
      </w:r>
    </w:p>
    <w:p w:rsidR="003B03F0" w:rsidRDefault="00AB186B">
      <w:pPr>
        <w:spacing w:before="104"/>
        <w:ind w:left="2980"/>
        <w:rPr>
          <w:rFonts w:ascii="Liberation Sans Narrow" w:hAnsi="Liberation Sans Narrow"/>
          <w:sz w:val="27"/>
        </w:rPr>
      </w:pPr>
      <w:r>
        <w:rPr>
          <w:rFonts w:ascii="Liberation Sans Narrow" w:hAnsi="Liberation Sans Narrow"/>
          <w:color w:val="808285"/>
          <w:sz w:val="27"/>
        </w:rPr>
        <w:t>ASOCIACIÓN CIVIL - PERSONERÍA JURÍDICA RES. N° 023 “A”/04</w:t>
      </w:r>
    </w:p>
    <w:p w:rsidR="003B03F0" w:rsidRDefault="003B03F0">
      <w:pPr>
        <w:pStyle w:val="Textoindependiente"/>
        <w:rPr>
          <w:rFonts w:ascii="Liberation Sans Narrow"/>
          <w:sz w:val="20"/>
        </w:rPr>
      </w:pPr>
    </w:p>
    <w:p w:rsidR="003B03F0" w:rsidRDefault="003B03F0">
      <w:pPr>
        <w:pStyle w:val="Textoindependiente"/>
        <w:rPr>
          <w:rFonts w:ascii="Liberation Sans Narrow"/>
          <w:sz w:val="20"/>
        </w:rPr>
      </w:pPr>
    </w:p>
    <w:p w:rsidR="003B03F0" w:rsidRDefault="003B03F0">
      <w:pPr>
        <w:pStyle w:val="Textoindependiente"/>
        <w:rPr>
          <w:rFonts w:ascii="Liberation Sans Narrow"/>
          <w:sz w:val="20"/>
        </w:rPr>
      </w:pPr>
    </w:p>
    <w:p w:rsidR="003B03F0" w:rsidRDefault="003B03F0">
      <w:pPr>
        <w:pStyle w:val="Textoindependiente"/>
        <w:rPr>
          <w:rFonts w:ascii="Liberation Sans Narrow"/>
          <w:sz w:val="20"/>
        </w:rPr>
      </w:pPr>
    </w:p>
    <w:p w:rsidR="003B03F0" w:rsidRDefault="003616CA" w:rsidP="00A576B8">
      <w:pPr>
        <w:pStyle w:val="Textoindependiente"/>
        <w:spacing w:before="5"/>
        <w:rPr>
          <w:sz w:val="20"/>
        </w:rPr>
      </w:pPr>
      <w:r>
        <w:pict>
          <v:line id="_x0000_s1044" style="position:absolute;z-index:251634176;mso-wrap-distance-left:0;mso-wrap-distance-right:0;mso-position-horizontal-relative:page" from="34.7pt,11.05pt" to="518.9pt,11.05pt" strokecolor="#939598" strokeweight=".5mm">
            <w10:wrap type="topAndBottom" anchorx="page"/>
          </v:line>
        </w:pict>
      </w:r>
      <w:bookmarkStart w:id="2" w:name="Página_34"/>
      <w:bookmarkEnd w:id="2"/>
    </w:p>
    <w:sectPr w:rsidR="003B03F0" w:rsidSect="003B03F0">
      <w:headerReference w:type="even" r:id="rId13"/>
      <w:footerReference w:type="even" r:id="rId14"/>
      <w:pgSz w:w="11060" w:h="15600"/>
      <w:pgMar w:top="4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CA" w:rsidRDefault="003616CA" w:rsidP="003B03F0">
      <w:r>
        <w:separator/>
      </w:r>
    </w:p>
  </w:endnote>
  <w:endnote w:type="continuationSeparator" w:id="0">
    <w:p w:rsidR="003616CA" w:rsidRDefault="003616CA" w:rsidP="003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6B" w:rsidRDefault="003616CA">
    <w:pPr>
      <w:pStyle w:val="Textoindependiente"/>
      <w:spacing w:line="14" w:lineRule="auto"/>
      <w:rPr>
        <w:sz w:val="20"/>
      </w:rPr>
    </w:pPr>
    <w:r>
      <w:pict>
        <v:line id="_x0000_s2054" style="position:absolute;z-index:-65224;mso-position-horizontal-relative:page;mso-position-vertical-relative:page" from="34.7pt,757.65pt" to="518.9pt,757.65pt" strokecolor="#939598" strokeweight=".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7pt;margin-top:759pt;width:11pt;height:9pt;z-index:-65200;mso-position-horizontal-relative:page;mso-position-vertical-relative:page" filled="f" stroked="f">
          <v:textbox style="mso-next-textbox:#_x0000_s2053" inset="0,0,0,0">
            <w:txbxContent>
              <w:p w:rsidR="00AB186B" w:rsidRDefault="00AB186B">
                <w:pPr>
                  <w:spacing w:line="152" w:lineRule="exact"/>
                  <w:ind w:left="40"/>
                  <w:rPr>
                    <w:i/>
                    <w:sz w:val="14"/>
                  </w:rPr>
                </w:pPr>
                <w:r>
                  <w:fldChar w:fldCharType="begin"/>
                </w:r>
                <w:r>
                  <w:rPr>
                    <w:i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300F4">
                  <w:rPr>
                    <w:i/>
                    <w:noProof/>
                    <w:color w:val="231F20"/>
                    <w:sz w:val="1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6B" w:rsidRDefault="003616CA">
    <w:pPr>
      <w:pStyle w:val="Textoindependiente"/>
      <w:spacing w:line="14" w:lineRule="auto"/>
      <w:rPr>
        <w:sz w:val="20"/>
      </w:rPr>
    </w:pPr>
    <w:r>
      <w:pict>
        <v:line id="_x0000_s2052" style="position:absolute;z-index:-65176;mso-position-horizontal-relative:page;mso-position-vertical-relative:page" from="34.7pt,757.65pt" to="518.9pt,757.65pt" strokecolor="#939598" strokeweight=".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55pt;margin-top:759pt;width:11pt;height:9pt;z-index:-65152;mso-position-horizontal-relative:page;mso-position-vertical-relative:page" filled="f" stroked="f">
          <v:textbox style="mso-next-textbox:#_x0000_s2051" inset="0,0,0,0">
            <w:txbxContent>
              <w:p w:rsidR="00AB186B" w:rsidRDefault="00AB186B">
                <w:pPr>
                  <w:spacing w:line="152" w:lineRule="exact"/>
                  <w:ind w:left="40"/>
                  <w:rPr>
                    <w:i/>
                    <w:sz w:val="14"/>
                  </w:rPr>
                </w:pPr>
                <w:r>
                  <w:fldChar w:fldCharType="begin"/>
                </w:r>
                <w:r>
                  <w:rPr>
                    <w:i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300F4">
                  <w:rPr>
                    <w:i/>
                    <w:noProof/>
                    <w:color w:val="231F20"/>
                    <w:sz w:val="1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6B" w:rsidRDefault="00AB186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CA" w:rsidRDefault="003616CA" w:rsidP="003B03F0">
      <w:r>
        <w:separator/>
      </w:r>
    </w:p>
  </w:footnote>
  <w:footnote w:type="continuationSeparator" w:id="0">
    <w:p w:rsidR="003616CA" w:rsidRDefault="003616CA" w:rsidP="003B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6B" w:rsidRDefault="00AB186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6B" w:rsidRDefault="00AB186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5CE"/>
    <w:multiLevelType w:val="hybridMultilevel"/>
    <w:tmpl w:val="9FD8BCF2"/>
    <w:lvl w:ilvl="0" w:tplc="4630EF90">
      <w:start w:val="4"/>
      <w:numFmt w:val="decimal"/>
      <w:lvlText w:val="%1."/>
      <w:lvlJc w:val="left"/>
      <w:pPr>
        <w:ind w:left="703" w:hanging="644"/>
        <w:jc w:val="right"/>
      </w:pPr>
      <w:rPr>
        <w:rFonts w:ascii="Arial" w:eastAsia="Arial" w:hAnsi="Arial" w:cs="Arial" w:hint="default"/>
        <w:b/>
        <w:bCs/>
        <w:color w:val="231F20"/>
        <w:w w:val="92"/>
        <w:sz w:val="19"/>
        <w:szCs w:val="19"/>
      </w:rPr>
    </w:lvl>
    <w:lvl w:ilvl="1" w:tplc="1806F5FA">
      <w:start w:val="1"/>
      <w:numFmt w:val="decimal"/>
      <w:lvlText w:val="%2."/>
      <w:lvlJc w:val="left"/>
      <w:pPr>
        <w:ind w:left="1118" w:hanging="644"/>
        <w:jc w:val="left"/>
      </w:pPr>
      <w:rPr>
        <w:rFonts w:ascii="Arial" w:eastAsia="Arial" w:hAnsi="Arial" w:cs="Arial" w:hint="default"/>
        <w:b/>
        <w:bCs/>
        <w:color w:val="231F20"/>
        <w:w w:val="92"/>
        <w:sz w:val="19"/>
        <w:szCs w:val="19"/>
      </w:rPr>
    </w:lvl>
    <w:lvl w:ilvl="2" w:tplc="0122AD3A">
      <w:numFmt w:val="bullet"/>
      <w:lvlText w:val="•"/>
      <w:lvlJc w:val="left"/>
      <w:pPr>
        <w:ind w:left="991" w:hanging="644"/>
      </w:pPr>
      <w:rPr>
        <w:rFonts w:hint="default"/>
      </w:rPr>
    </w:lvl>
    <w:lvl w:ilvl="3" w:tplc="1646F4A6">
      <w:numFmt w:val="bullet"/>
      <w:lvlText w:val="•"/>
      <w:lvlJc w:val="left"/>
      <w:pPr>
        <w:ind w:left="862" w:hanging="644"/>
      </w:pPr>
      <w:rPr>
        <w:rFonts w:hint="default"/>
      </w:rPr>
    </w:lvl>
    <w:lvl w:ilvl="4" w:tplc="337EC452">
      <w:numFmt w:val="bullet"/>
      <w:lvlText w:val="•"/>
      <w:lvlJc w:val="left"/>
      <w:pPr>
        <w:ind w:left="733" w:hanging="644"/>
      </w:pPr>
      <w:rPr>
        <w:rFonts w:hint="default"/>
      </w:rPr>
    </w:lvl>
    <w:lvl w:ilvl="5" w:tplc="191A74DC">
      <w:numFmt w:val="bullet"/>
      <w:lvlText w:val="•"/>
      <w:lvlJc w:val="left"/>
      <w:pPr>
        <w:ind w:left="604" w:hanging="644"/>
      </w:pPr>
      <w:rPr>
        <w:rFonts w:hint="default"/>
      </w:rPr>
    </w:lvl>
    <w:lvl w:ilvl="6" w:tplc="8652942C">
      <w:numFmt w:val="bullet"/>
      <w:lvlText w:val="•"/>
      <w:lvlJc w:val="left"/>
      <w:pPr>
        <w:ind w:left="475" w:hanging="644"/>
      </w:pPr>
      <w:rPr>
        <w:rFonts w:hint="default"/>
      </w:rPr>
    </w:lvl>
    <w:lvl w:ilvl="7" w:tplc="E854966C">
      <w:numFmt w:val="bullet"/>
      <w:lvlText w:val="•"/>
      <w:lvlJc w:val="left"/>
      <w:pPr>
        <w:ind w:left="346" w:hanging="644"/>
      </w:pPr>
      <w:rPr>
        <w:rFonts w:hint="default"/>
      </w:rPr>
    </w:lvl>
    <w:lvl w:ilvl="8" w:tplc="2122634C">
      <w:numFmt w:val="bullet"/>
      <w:lvlText w:val="•"/>
      <w:lvlJc w:val="left"/>
      <w:pPr>
        <w:ind w:left="217" w:hanging="644"/>
      </w:pPr>
      <w:rPr>
        <w:rFonts w:hint="default"/>
      </w:rPr>
    </w:lvl>
  </w:abstractNum>
  <w:abstractNum w:abstractNumId="1" w15:restartNumberingAfterBreak="0">
    <w:nsid w:val="21C23798"/>
    <w:multiLevelType w:val="hybridMultilevel"/>
    <w:tmpl w:val="042ED214"/>
    <w:lvl w:ilvl="0" w:tplc="E84A0C80">
      <w:start w:val="1"/>
      <w:numFmt w:val="decimal"/>
      <w:lvlText w:val="%1."/>
      <w:lvlJc w:val="left"/>
      <w:pPr>
        <w:ind w:left="993" w:hanging="363"/>
        <w:jc w:val="right"/>
      </w:pPr>
      <w:rPr>
        <w:rFonts w:ascii="Arial" w:eastAsia="Arial" w:hAnsi="Arial" w:cs="Arial" w:hint="default"/>
        <w:color w:val="231F20"/>
        <w:w w:val="91"/>
        <w:sz w:val="18"/>
        <w:szCs w:val="18"/>
      </w:rPr>
    </w:lvl>
    <w:lvl w:ilvl="1" w:tplc="CBE0FFEC">
      <w:numFmt w:val="bullet"/>
      <w:lvlText w:val="•"/>
      <w:lvlJc w:val="left"/>
      <w:pPr>
        <w:ind w:left="1465" w:hanging="363"/>
      </w:pPr>
      <w:rPr>
        <w:rFonts w:hint="default"/>
      </w:rPr>
    </w:lvl>
    <w:lvl w:ilvl="2" w:tplc="983A8E64">
      <w:numFmt w:val="bullet"/>
      <w:lvlText w:val="•"/>
      <w:lvlJc w:val="left"/>
      <w:pPr>
        <w:ind w:left="1930" w:hanging="363"/>
      </w:pPr>
      <w:rPr>
        <w:rFonts w:hint="default"/>
      </w:rPr>
    </w:lvl>
    <w:lvl w:ilvl="3" w:tplc="F6BAEABA">
      <w:numFmt w:val="bullet"/>
      <w:lvlText w:val="•"/>
      <w:lvlJc w:val="left"/>
      <w:pPr>
        <w:ind w:left="2394" w:hanging="363"/>
      </w:pPr>
      <w:rPr>
        <w:rFonts w:hint="default"/>
      </w:rPr>
    </w:lvl>
    <w:lvl w:ilvl="4" w:tplc="8F72AFC0">
      <w:numFmt w:val="bullet"/>
      <w:lvlText w:val="•"/>
      <w:lvlJc w:val="left"/>
      <w:pPr>
        <w:ind w:left="2859" w:hanging="363"/>
      </w:pPr>
      <w:rPr>
        <w:rFonts w:hint="default"/>
      </w:rPr>
    </w:lvl>
    <w:lvl w:ilvl="5" w:tplc="F500BC7E">
      <w:numFmt w:val="bullet"/>
      <w:lvlText w:val="•"/>
      <w:lvlJc w:val="left"/>
      <w:pPr>
        <w:ind w:left="3324" w:hanging="363"/>
      </w:pPr>
      <w:rPr>
        <w:rFonts w:hint="default"/>
      </w:rPr>
    </w:lvl>
    <w:lvl w:ilvl="6" w:tplc="A4F4BB06">
      <w:numFmt w:val="bullet"/>
      <w:lvlText w:val="•"/>
      <w:lvlJc w:val="left"/>
      <w:pPr>
        <w:ind w:left="3789" w:hanging="363"/>
      </w:pPr>
      <w:rPr>
        <w:rFonts w:hint="default"/>
      </w:rPr>
    </w:lvl>
    <w:lvl w:ilvl="7" w:tplc="63F42388">
      <w:numFmt w:val="bullet"/>
      <w:lvlText w:val="•"/>
      <w:lvlJc w:val="left"/>
      <w:pPr>
        <w:ind w:left="4254" w:hanging="363"/>
      </w:pPr>
      <w:rPr>
        <w:rFonts w:hint="default"/>
      </w:rPr>
    </w:lvl>
    <w:lvl w:ilvl="8" w:tplc="63B214B4">
      <w:numFmt w:val="bullet"/>
      <w:lvlText w:val="•"/>
      <w:lvlJc w:val="left"/>
      <w:pPr>
        <w:ind w:left="4719" w:hanging="363"/>
      </w:pPr>
      <w:rPr>
        <w:rFonts w:hint="default"/>
      </w:rPr>
    </w:lvl>
  </w:abstractNum>
  <w:abstractNum w:abstractNumId="2" w15:restartNumberingAfterBreak="0">
    <w:nsid w:val="39175448"/>
    <w:multiLevelType w:val="hybridMultilevel"/>
    <w:tmpl w:val="07D27D0A"/>
    <w:lvl w:ilvl="0" w:tplc="669E3C7A">
      <w:start w:val="35"/>
      <w:numFmt w:val="decimal"/>
      <w:lvlText w:val="%1."/>
      <w:lvlJc w:val="left"/>
      <w:pPr>
        <w:ind w:left="703" w:hanging="644"/>
        <w:jc w:val="left"/>
      </w:pPr>
      <w:rPr>
        <w:rFonts w:ascii="Arial" w:eastAsia="Arial" w:hAnsi="Arial" w:cs="Arial" w:hint="default"/>
        <w:b/>
        <w:bCs/>
        <w:color w:val="231F20"/>
        <w:w w:val="92"/>
        <w:sz w:val="19"/>
        <w:szCs w:val="19"/>
      </w:rPr>
    </w:lvl>
    <w:lvl w:ilvl="1" w:tplc="74186002">
      <w:start w:val="26"/>
      <w:numFmt w:val="decimal"/>
      <w:lvlText w:val="%2."/>
      <w:lvlJc w:val="left"/>
      <w:pPr>
        <w:ind w:left="1118" w:hanging="644"/>
        <w:jc w:val="left"/>
      </w:pPr>
      <w:rPr>
        <w:rFonts w:ascii="Arial" w:eastAsia="Arial" w:hAnsi="Arial" w:cs="Arial" w:hint="default"/>
        <w:b/>
        <w:bCs/>
        <w:color w:val="231F20"/>
        <w:w w:val="92"/>
        <w:sz w:val="19"/>
        <w:szCs w:val="19"/>
      </w:rPr>
    </w:lvl>
    <w:lvl w:ilvl="2" w:tplc="AB848404">
      <w:numFmt w:val="bullet"/>
      <w:lvlText w:val="•"/>
      <w:lvlJc w:val="left"/>
      <w:pPr>
        <w:ind w:left="991" w:hanging="644"/>
      </w:pPr>
      <w:rPr>
        <w:rFonts w:hint="default"/>
      </w:rPr>
    </w:lvl>
    <w:lvl w:ilvl="3" w:tplc="F45C033C">
      <w:numFmt w:val="bullet"/>
      <w:lvlText w:val="•"/>
      <w:lvlJc w:val="left"/>
      <w:pPr>
        <w:ind w:left="862" w:hanging="644"/>
      </w:pPr>
      <w:rPr>
        <w:rFonts w:hint="default"/>
      </w:rPr>
    </w:lvl>
    <w:lvl w:ilvl="4" w:tplc="913E8C80">
      <w:numFmt w:val="bullet"/>
      <w:lvlText w:val="•"/>
      <w:lvlJc w:val="left"/>
      <w:pPr>
        <w:ind w:left="733" w:hanging="644"/>
      </w:pPr>
      <w:rPr>
        <w:rFonts w:hint="default"/>
      </w:rPr>
    </w:lvl>
    <w:lvl w:ilvl="5" w:tplc="96444DC8">
      <w:numFmt w:val="bullet"/>
      <w:lvlText w:val="•"/>
      <w:lvlJc w:val="left"/>
      <w:pPr>
        <w:ind w:left="604" w:hanging="644"/>
      </w:pPr>
      <w:rPr>
        <w:rFonts w:hint="default"/>
      </w:rPr>
    </w:lvl>
    <w:lvl w:ilvl="6" w:tplc="6804F502">
      <w:numFmt w:val="bullet"/>
      <w:lvlText w:val="•"/>
      <w:lvlJc w:val="left"/>
      <w:pPr>
        <w:ind w:left="475" w:hanging="644"/>
      </w:pPr>
      <w:rPr>
        <w:rFonts w:hint="default"/>
      </w:rPr>
    </w:lvl>
    <w:lvl w:ilvl="7" w:tplc="D638C41A">
      <w:numFmt w:val="bullet"/>
      <w:lvlText w:val="•"/>
      <w:lvlJc w:val="left"/>
      <w:pPr>
        <w:ind w:left="346" w:hanging="644"/>
      </w:pPr>
      <w:rPr>
        <w:rFonts w:hint="default"/>
      </w:rPr>
    </w:lvl>
    <w:lvl w:ilvl="8" w:tplc="C0505B90">
      <w:numFmt w:val="bullet"/>
      <w:lvlText w:val="•"/>
      <w:lvlJc w:val="left"/>
      <w:pPr>
        <w:ind w:left="217" w:hanging="644"/>
      </w:pPr>
      <w:rPr>
        <w:rFonts w:hint="default"/>
      </w:rPr>
    </w:lvl>
  </w:abstractNum>
  <w:abstractNum w:abstractNumId="3" w15:restartNumberingAfterBreak="0">
    <w:nsid w:val="3F072ADF"/>
    <w:multiLevelType w:val="hybridMultilevel"/>
    <w:tmpl w:val="E5A8DA48"/>
    <w:lvl w:ilvl="0" w:tplc="85BAAB92">
      <w:numFmt w:val="bullet"/>
      <w:lvlText w:val="·"/>
      <w:lvlJc w:val="left"/>
      <w:pPr>
        <w:ind w:left="1469" w:hanging="30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AB74FDE6">
      <w:numFmt w:val="bullet"/>
      <w:lvlText w:val="•"/>
      <w:lvlJc w:val="left"/>
      <w:pPr>
        <w:ind w:left="1851" w:hanging="300"/>
      </w:pPr>
      <w:rPr>
        <w:rFonts w:hint="default"/>
      </w:rPr>
    </w:lvl>
    <w:lvl w:ilvl="2" w:tplc="119CD2C0">
      <w:numFmt w:val="bullet"/>
      <w:lvlText w:val="•"/>
      <w:lvlJc w:val="left"/>
      <w:pPr>
        <w:ind w:left="2243" w:hanging="300"/>
      </w:pPr>
      <w:rPr>
        <w:rFonts w:hint="default"/>
      </w:rPr>
    </w:lvl>
    <w:lvl w:ilvl="3" w:tplc="B40E1EA4">
      <w:numFmt w:val="bullet"/>
      <w:lvlText w:val="•"/>
      <w:lvlJc w:val="left"/>
      <w:pPr>
        <w:ind w:left="2635" w:hanging="300"/>
      </w:pPr>
      <w:rPr>
        <w:rFonts w:hint="default"/>
      </w:rPr>
    </w:lvl>
    <w:lvl w:ilvl="4" w:tplc="F712105E">
      <w:numFmt w:val="bullet"/>
      <w:lvlText w:val="•"/>
      <w:lvlJc w:val="left"/>
      <w:pPr>
        <w:ind w:left="3027" w:hanging="300"/>
      </w:pPr>
      <w:rPr>
        <w:rFonts w:hint="default"/>
      </w:rPr>
    </w:lvl>
    <w:lvl w:ilvl="5" w:tplc="3AB0E1B0">
      <w:numFmt w:val="bullet"/>
      <w:lvlText w:val="•"/>
      <w:lvlJc w:val="left"/>
      <w:pPr>
        <w:ind w:left="3419" w:hanging="300"/>
      </w:pPr>
      <w:rPr>
        <w:rFonts w:hint="default"/>
      </w:rPr>
    </w:lvl>
    <w:lvl w:ilvl="6" w:tplc="E00EF7C4">
      <w:numFmt w:val="bullet"/>
      <w:lvlText w:val="•"/>
      <w:lvlJc w:val="left"/>
      <w:pPr>
        <w:ind w:left="3811" w:hanging="300"/>
      </w:pPr>
      <w:rPr>
        <w:rFonts w:hint="default"/>
      </w:rPr>
    </w:lvl>
    <w:lvl w:ilvl="7" w:tplc="C484B87C">
      <w:numFmt w:val="bullet"/>
      <w:lvlText w:val="•"/>
      <w:lvlJc w:val="left"/>
      <w:pPr>
        <w:ind w:left="4203" w:hanging="300"/>
      </w:pPr>
      <w:rPr>
        <w:rFonts w:hint="default"/>
      </w:rPr>
    </w:lvl>
    <w:lvl w:ilvl="8" w:tplc="FC087480">
      <w:numFmt w:val="bullet"/>
      <w:lvlText w:val="•"/>
      <w:lvlJc w:val="left"/>
      <w:pPr>
        <w:ind w:left="4595" w:hanging="300"/>
      </w:pPr>
      <w:rPr>
        <w:rFonts w:hint="default"/>
      </w:rPr>
    </w:lvl>
  </w:abstractNum>
  <w:abstractNum w:abstractNumId="4" w15:restartNumberingAfterBreak="0">
    <w:nsid w:val="53A22735"/>
    <w:multiLevelType w:val="hybridMultilevel"/>
    <w:tmpl w:val="96A0ECD2"/>
    <w:lvl w:ilvl="0" w:tplc="C3202A9A"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2"/>
        <w:szCs w:val="22"/>
      </w:rPr>
    </w:lvl>
    <w:lvl w:ilvl="1" w:tplc="98D217D6">
      <w:numFmt w:val="bullet"/>
      <w:lvlText w:val="-"/>
      <w:lvlJc w:val="left"/>
      <w:pPr>
        <w:ind w:left="1414" w:hanging="360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2"/>
        <w:szCs w:val="22"/>
      </w:rPr>
    </w:lvl>
    <w:lvl w:ilvl="2" w:tplc="E5D26814"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33769C76">
      <w:numFmt w:val="bullet"/>
      <w:lvlText w:val="•"/>
      <w:lvlJc w:val="left"/>
      <w:pPr>
        <w:ind w:left="1095" w:hanging="360"/>
      </w:pPr>
      <w:rPr>
        <w:rFonts w:hint="default"/>
      </w:rPr>
    </w:lvl>
    <w:lvl w:ilvl="4" w:tplc="028AAC0C">
      <w:numFmt w:val="bullet"/>
      <w:lvlText w:val="•"/>
      <w:lvlJc w:val="left"/>
      <w:pPr>
        <w:ind w:left="933" w:hanging="360"/>
      </w:pPr>
      <w:rPr>
        <w:rFonts w:hint="default"/>
      </w:rPr>
    </w:lvl>
    <w:lvl w:ilvl="5" w:tplc="CBCCF58C">
      <w:numFmt w:val="bullet"/>
      <w:lvlText w:val="•"/>
      <w:lvlJc w:val="left"/>
      <w:pPr>
        <w:ind w:left="771" w:hanging="360"/>
      </w:pPr>
      <w:rPr>
        <w:rFonts w:hint="default"/>
      </w:rPr>
    </w:lvl>
    <w:lvl w:ilvl="6" w:tplc="BBE25218">
      <w:numFmt w:val="bullet"/>
      <w:lvlText w:val="•"/>
      <w:lvlJc w:val="left"/>
      <w:pPr>
        <w:ind w:left="608" w:hanging="360"/>
      </w:pPr>
      <w:rPr>
        <w:rFonts w:hint="default"/>
      </w:rPr>
    </w:lvl>
    <w:lvl w:ilvl="7" w:tplc="BE8C9036">
      <w:numFmt w:val="bullet"/>
      <w:lvlText w:val="•"/>
      <w:lvlJc w:val="left"/>
      <w:pPr>
        <w:ind w:left="446" w:hanging="360"/>
      </w:pPr>
      <w:rPr>
        <w:rFonts w:hint="default"/>
      </w:rPr>
    </w:lvl>
    <w:lvl w:ilvl="8" w:tplc="E2A8F362">
      <w:numFmt w:val="bullet"/>
      <w:lvlText w:val="•"/>
      <w:lvlJc w:val="left"/>
      <w:pPr>
        <w:ind w:left="284" w:hanging="360"/>
      </w:pPr>
      <w:rPr>
        <w:rFonts w:hint="default"/>
      </w:rPr>
    </w:lvl>
  </w:abstractNum>
  <w:abstractNum w:abstractNumId="5" w15:restartNumberingAfterBreak="0">
    <w:nsid w:val="5573625F"/>
    <w:multiLevelType w:val="hybridMultilevel"/>
    <w:tmpl w:val="3EEE9EC4"/>
    <w:lvl w:ilvl="0" w:tplc="38DE2C52">
      <w:start w:val="1"/>
      <w:numFmt w:val="decimal"/>
      <w:lvlText w:val="%1."/>
      <w:lvlJc w:val="left"/>
      <w:pPr>
        <w:ind w:left="908" w:hanging="198"/>
        <w:jc w:val="left"/>
      </w:pPr>
      <w:rPr>
        <w:rFonts w:ascii="Arial" w:eastAsia="Arial" w:hAnsi="Arial" w:cs="Arial" w:hint="default"/>
        <w:color w:val="231F20"/>
        <w:w w:val="91"/>
        <w:sz w:val="20"/>
        <w:szCs w:val="20"/>
      </w:rPr>
    </w:lvl>
    <w:lvl w:ilvl="1" w:tplc="D28E4480">
      <w:start w:val="1"/>
      <w:numFmt w:val="decimal"/>
      <w:lvlText w:val="%2."/>
      <w:lvlJc w:val="left"/>
      <w:pPr>
        <w:ind w:left="1413" w:hanging="360"/>
        <w:jc w:val="right"/>
      </w:pPr>
      <w:rPr>
        <w:rFonts w:ascii="Arial" w:eastAsia="Arial" w:hAnsi="Arial" w:cs="Arial" w:hint="default"/>
        <w:b/>
        <w:bCs/>
        <w:color w:val="231F20"/>
        <w:w w:val="92"/>
        <w:sz w:val="22"/>
        <w:szCs w:val="22"/>
      </w:rPr>
    </w:lvl>
    <w:lvl w:ilvl="2" w:tplc="3C34F802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F3C68B5C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AA3C2FA6">
      <w:numFmt w:val="bullet"/>
      <w:lvlText w:val="•"/>
      <w:lvlJc w:val="left"/>
      <w:pPr>
        <w:ind w:left="2736" w:hanging="360"/>
      </w:pPr>
      <w:rPr>
        <w:rFonts w:hint="default"/>
      </w:rPr>
    </w:lvl>
    <w:lvl w:ilvl="5" w:tplc="45C88FB4">
      <w:numFmt w:val="bullet"/>
      <w:lvlText w:val="•"/>
      <w:lvlJc w:val="left"/>
      <w:pPr>
        <w:ind w:left="3174" w:hanging="360"/>
      </w:pPr>
      <w:rPr>
        <w:rFonts w:hint="default"/>
      </w:rPr>
    </w:lvl>
    <w:lvl w:ilvl="6" w:tplc="5BFC357C"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32DEC1E0">
      <w:numFmt w:val="bullet"/>
      <w:lvlText w:val="•"/>
      <w:lvlJc w:val="left"/>
      <w:pPr>
        <w:ind w:left="4052" w:hanging="360"/>
      </w:pPr>
      <w:rPr>
        <w:rFonts w:hint="default"/>
      </w:rPr>
    </w:lvl>
    <w:lvl w:ilvl="8" w:tplc="3E9A18EA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6" w15:restartNumberingAfterBreak="0">
    <w:nsid w:val="57785501"/>
    <w:multiLevelType w:val="hybridMultilevel"/>
    <w:tmpl w:val="B0B6B71E"/>
    <w:lvl w:ilvl="0" w:tplc="6C1C0F2E">
      <w:start w:val="3"/>
      <w:numFmt w:val="decimal"/>
      <w:lvlText w:val="%1."/>
      <w:lvlJc w:val="left"/>
      <w:pPr>
        <w:ind w:left="277" w:hanging="190"/>
        <w:jc w:val="left"/>
      </w:pPr>
      <w:rPr>
        <w:rFonts w:ascii="Times New Roman" w:eastAsia="Times New Roman" w:hAnsi="Times New Roman" w:cs="Times New Roman" w:hint="default"/>
        <w:i/>
        <w:color w:val="231F20"/>
        <w:w w:val="102"/>
        <w:sz w:val="20"/>
        <w:szCs w:val="20"/>
      </w:rPr>
    </w:lvl>
    <w:lvl w:ilvl="1" w:tplc="A2E603D2">
      <w:start w:val="1"/>
      <w:numFmt w:val="decimal"/>
      <w:lvlText w:val="%2."/>
      <w:lvlJc w:val="left"/>
      <w:pPr>
        <w:ind w:left="1412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2"/>
        <w:szCs w:val="22"/>
      </w:rPr>
    </w:lvl>
    <w:lvl w:ilvl="2" w:tplc="10D4EB82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0C2488C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B2260B66"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94945A22">
      <w:numFmt w:val="bullet"/>
      <w:lvlText w:val="•"/>
      <w:lvlJc w:val="left"/>
      <w:pPr>
        <w:ind w:left="3298" w:hanging="360"/>
      </w:pPr>
      <w:rPr>
        <w:rFonts w:hint="default"/>
      </w:rPr>
    </w:lvl>
    <w:lvl w:ilvl="6" w:tplc="4D344D08">
      <w:numFmt w:val="bullet"/>
      <w:lvlText w:val="•"/>
      <w:lvlJc w:val="left"/>
      <w:pPr>
        <w:ind w:left="3768" w:hanging="360"/>
      </w:pPr>
      <w:rPr>
        <w:rFonts w:hint="default"/>
      </w:rPr>
    </w:lvl>
    <w:lvl w:ilvl="7" w:tplc="83E6A442">
      <w:numFmt w:val="bullet"/>
      <w:lvlText w:val="•"/>
      <w:lvlJc w:val="left"/>
      <w:pPr>
        <w:ind w:left="4238" w:hanging="360"/>
      </w:pPr>
      <w:rPr>
        <w:rFonts w:hint="default"/>
      </w:rPr>
    </w:lvl>
    <w:lvl w:ilvl="8" w:tplc="E5463A2E">
      <w:numFmt w:val="bullet"/>
      <w:lvlText w:val="•"/>
      <w:lvlJc w:val="left"/>
      <w:pPr>
        <w:ind w:left="4707" w:hanging="360"/>
      </w:pPr>
      <w:rPr>
        <w:rFonts w:hint="default"/>
      </w:rPr>
    </w:lvl>
  </w:abstractNum>
  <w:abstractNum w:abstractNumId="7" w15:restartNumberingAfterBreak="0">
    <w:nsid w:val="59C05152"/>
    <w:multiLevelType w:val="hybridMultilevel"/>
    <w:tmpl w:val="04EC145E"/>
    <w:lvl w:ilvl="0" w:tplc="AC6A0FF2">
      <w:numFmt w:val="bullet"/>
      <w:lvlText w:val="•"/>
      <w:lvlJc w:val="left"/>
      <w:pPr>
        <w:ind w:left="1400" w:hanging="363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370C3AD4">
      <w:numFmt w:val="bullet"/>
      <w:lvlText w:val="•"/>
      <w:lvlJc w:val="left"/>
      <w:pPr>
        <w:ind w:left="1796" w:hanging="363"/>
      </w:pPr>
      <w:rPr>
        <w:rFonts w:hint="default"/>
      </w:rPr>
    </w:lvl>
    <w:lvl w:ilvl="2" w:tplc="261A3E84">
      <w:numFmt w:val="bullet"/>
      <w:lvlText w:val="•"/>
      <w:lvlJc w:val="left"/>
      <w:pPr>
        <w:ind w:left="2193" w:hanging="363"/>
      </w:pPr>
      <w:rPr>
        <w:rFonts w:hint="default"/>
      </w:rPr>
    </w:lvl>
    <w:lvl w:ilvl="3" w:tplc="9E6412D0">
      <w:numFmt w:val="bullet"/>
      <w:lvlText w:val="•"/>
      <w:lvlJc w:val="left"/>
      <w:pPr>
        <w:ind w:left="2590" w:hanging="363"/>
      </w:pPr>
      <w:rPr>
        <w:rFonts w:hint="default"/>
      </w:rPr>
    </w:lvl>
    <w:lvl w:ilvl="4" w:tplc="1DE09E78">
      <w:numFmt w:val="bullet"/>
      <w:lvlText w:val="•"/>
      <w:lvlJc w:val="left"/>
      <w:pPr>
        <w:ind w:left="2987" w:hanging="363"/>
      </w:pPr>
      <w:rPr>
        <w:rFonts w:hint="default"/>
      </w:rPr>
    </w:lvl>
    <w:lvl w:ilvl="5" w:tplc="D21AE702">
      <w:numFmt w:val="bullet"/>
      <w:lvlText w:val="•"/>
      <w:lvlJc w:val="left"/>
      <w:pPr>
        <w:ind w:left="3384" w:hanging="363"/>
      </w:pPr>
      <w:rPr>
        <w:rFonts w:hint="default"/>
      </w:rPr>
    </w:lvl>
    <w:lvl w:ilvl="6" w:tplc="F6B8B22E">
      <w:numFmt w:val="bullet"/>
      <w:lvlText w:val="•"/>
      <w:lvlJc w:val="left"/>
      <w:pPr>
        <w:ind w:left="3780" w:hanging="363"/>
      </w:pPr>
      <w:rPr>
        <w:rFonts w:hint="default"/>
      </w:rPr>
    </w:lvl>
    <w:lvl w:ilvl="7" w:tplc="0EE6FDCC">
      <w:numFmt w:val="bullet"/>
      <w:lvlText w:val="•"/>
      <w:lvlJc w:val="left"/>
      <w:pPr>
        <w:ind w:left="4177" w:hanging="363"/>
      </w:pPr>
      <w:rPr>
        <w:rFonts w:hint="default"/>
      </w:rPr>
    </w:lvl>
    <w:lvl w:ilvl="8" w:tplc="32F660E6">
      <w:numFmt w:val="bullet"/>
      <w:lvlText w:val="•"/>
      <w:lvlJc w:val="left"/>
      <w:pPr>
        <w:ind w:left="4574" w:hanging="363"/>
      </w:pPr>
      <w:rPr>
        <w:rFonts w:hint="default"/>
      </w:rPr>
    </w:lvl>
  </w:abstractNum>
  <w:abstractNum w:abstractNumId="8" w15:restartNumberingAfterBreak="0">
    <w:nsid w:val="698C715E"/>
    <w:multiLevelType w:val="hybridMultilevel"/>
    <w:tmpl w:val="DFEC021A"/>
    <w:lvl w:ilvl="0" w:tplc="21F06236">
      <w:numFmt w:val="bullet"/>
      <w:lvlText w:val="o"/>
      <w:lvlJc w:val="left"/>
      <w:pPr>
        <w:ind w:left="403" w:hanging="276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26D4EAC2">
      <w:numFmt w:val="bullet"/>
      <w:lvlText w:val=""/>
      <w:lvlJc w:val="left"/>
      <w:pPr>
        <w:ind w:left="277" w:hanging="562"/>
      </w:pPr>
      <w:rPr>
        <w:rFonts w:ascii="Wingdings" w:eastAsia="Wingdings" w:hAnsi="Wingdings" w:cs="Wingdings" w:hint="default"/>
        <w:color w:val="231F20"/>
        <w:spacing w:val="-276"/>
        <w:w w:val="600"/>
        <w:sz w:val="16"/>
        <w:szCs w:val="16"/>
      </w:rPr>
    </w:lvl>
    <w:lvl w:ilvl="2" w:tplc="C3A8A8A8">
      <w:numFmt w:val="bullet"/>
      <w:lvlText w:val="•"/>
      <w:lvlJc w:val="left"/>
      <w:pPr>
        <w:ind w:left="689" w:hanging="562"/>
      </w:pPr>
      <w:rPr>
        <w:rFonts w:hint="default"/>
      </w:rPr>
    </w:lvl>
    <w:lvl w:ilvl="3" w:tplc="C844641C">
      <w:numFmt w:val="bullet"/>
      <w:lvlText w:val="•"/>
      <w:lvlJc w:val="left"/>
      <w:pPr>
        <w:ind w:left="978" w:hanging="562"/>
      </w:pPr>
      <w:rPr>
        <w:rFonts w:hint="default"/>
      </w:rPr>
    </w:lvl>
    <w:lvl w:ilvl="4" w:tplc="075A79B6">
      <w:numFmt w:val="bullet"/>
      <w:lvlText w:val="•"/>
      <w:lvlJc w:val="left"/>
      <w:pPr>
        <w:ind w:left="1268" w:hanging="562"/>
      </w:pPr>
      <w:rPr>
        <w:rFonts w:hint="default"/>
      </w:rPr>
    </w:lvl>
    <w:lvl w:ilvl="5" w:tplc="C3B0AE36">
      <w:numFmt w:val="bullet"/>
      <w:lvlText w:val="•"/>
      <w:lvlJc w:val="left"/>
      <w:pPr>
        <w:ind w:left="1557" w:hanging="562"/>
      </w:pPr>
      <w:rPr>
        <w:rFonts w:hint="default"/>
      </w:rPr>
    </w:lvl>
    <w:lvl w:ilvl="6" w:tplc="C9ECFB12">
      <w:numFmt w:val="bullet"/>
      <w:lvlText w:val="•"/>
      <w:lvlJc w:val="left"/>
      <w:pPr>
        <w:ind w:left="1847" w:hanging="562"/>
      </w:pPr>
      <w:rPr>
        <w:rFonts w:hint="default"/>
      </w:rPr>
    </w:lvl>
    <w:lvl w:ilvl="7" w:tplc="9CAAB852">
      <w:numFmt w:val="bullet"/>
      <w:lvlText w:val="•"/>
      <w:lvlJc w:val="left"/>
      <w:pPr>
        <w:ind w:left="2136" w:hanging="562"/>
      </w:pPr>
      <w:rPr>
        <w:rFonts w:hint="default"/>
      </w:rPr>
    </w:lvl>
    <w:lvl w:ilvl="8" w:tplc="9BD49174">
      <w:numFmt w:val="bullet"/>
      <w:lvlText w:val="•"/>
      <w:lvlJc w:val="left"/>
      <w:pPr>
        <w:ind w:left="2425" w:hanging="562"/>
      </w:pPr>
      <w:rPr>
        <w:rFonts w:hint="default"/>
      </w:rPr>
    </w:lvl>
  </w:abstractNum>
  <w:abstractNum w:abstractNumId="9" w15:restartNumberingAfterBreak="0">
    <w:nsid w:val="69C27D84"/>
    <w:multiLevelType w:val="hybridMultilevel"/>
    <w:tmpl w:val="EF7639C6"/>
    <w:lvl w:ilvl="0" w:tplc="C902ED98">
      <w:numFmt w:val="bullet"/>
      <w:lvlText w:val="-"/>
      <w:lvlJc w:val="left"/>
      <w:pPr>
        <w:ind w:left="694" w:hanging="129"/>
      </w:pPr>
      <w:rPr>
        <w:rFonts w:ascii="Times New Roman" w:eastAsia="Times New Roman" w:hAnsi="Times New Roman" w:cs="Times New Roman" w:hint="default"/>
        <w:b/>
        <w:bCs/>
        <w:color w:val="231F20"/>
        <w:spacing w:val="-24"/>
        <w:w w:val="99"/>
        <w:sz w:val="22"/>
        <w:szCs w:val="22"/>
      </w:rPr>
    </w:lvl>
    <w:lvl w:ilvl="1" w:tplc="A6A8F828">
      <w:numFmt w:val="bullet"/>
      <w:lvlText w:val="•"/>
      <w:lvlJc w:val="left"/>
      <w:pPr>
        <w:ind w:left="1166" w:hanging="129"/>
      </w:pPr>
      <w:rPr>
        <w:rFonts w:hint="default"/>
      </w:rPr>
    </w:lvl>
    <w:lvl w:ilvl="2" w:tplc="D3063B6E">
      <w:numFmt w:val="bullet"/>
      <w:lvlText w:val="•"/>
      <w:lvlJc w:val="left"/>
      <w:pPr>
        <w:ind w:left="1633" w:hanging="129"/>
      </w:pPr>
      <w:rPr>
        <w:rFonts w:hint="default"/>
      </w:rPr>
    </w:lvl>
    <w:lvl w:ilvl="3" w:tplc="6B066426">
      <w:numFmt w:val="bullet"/>
      <w:lvlText w:val="•"/>
      <w:lvlJc w:val="left"/>
      <w:pPr>
        <w:ind w:left="2100" w:hanging="129"/>
      </w:pPr>
      <w:rPr>
        <w:rFonts w:hint="default"/>
      </w:rPr>
    </w:lvl>
    <w:lvl w:ilvl="4" w:tplc="A5DA411A">
      <w:numFmt w:val="bullet"/>
      <w:lvlText w:val="•"/>
      <w:lvlJc w:val="left"/>
      <w:pPr>
        <w:ind w:left="2567" w:hanging="129"/>
      </w:pPr>
      <w:rPr>
        <w:rFonts w:hint="default"/>
      </w:rPr>
    </w:lvl>
    <w:lvl w:ilvl="5" w:tplc="F3D26788">
      <w:numFmt w:val="bullet"/>
      <w:lvlText w:val="•"/>
      <w:lvlJc w:val="left"/>
      <w:pPr>
        <w:ind w:left="3034" w:hanging="129"/>
      </w:pPr>
      <w:rPr>
        <w:rFonts w:hint="default"/>
      </w:rPr>
    </w:lvl>
    <w:lvl w:ilvl="6" w:tplc="2C38C704">
      <w:numFmt w:val="bullet"/>
      <w:lvlText w:val="•"/>
      <w:lvlJc w:val="left"/>
      <w:pPr>
        <w:ind w:left="3500" w:hanging="129"/>
      </w:pPr>
      <w:rPr>
        <w:rFonts w:hint="default"/>
      </w:rPr>
    </w:lvl>
    <w:lvl w:ilvl="7" w:tplc="9B86EC26">
      <w:numFmt w:val="bullet"/>
      <w:lvlText w:val="•"/>
      <w:lvlJc w:val="left"/>
      <w:pPr>
        <w:ind w:left="3967" w:hanging="129"/>
      </w:pPr>
      <w:rPr>
        <w:rFonts w:hint="default"/>
      </w:rPr>
    </w:lvl>
    <w:lvl w:ilvl="8" w:tplc="F2DC7B38">
      <w:numFmt w:val="bullet"/>
      <w:lvlText w:val="•"/>
      <w:lvlJc w:val="left"/>
      <w:pPr>
        <w:ind w:left="4434" w:hanging="129"/>
      </w:pPr>
      <w:rPr>
        <w:rFonts w:hint="default"/>
      </w:rPr>
    </w:lvl>
  </w:abstractNum>
  <w:abstractNum w:abstractNumId="10" w15:restartNumberingAfterBreak="0">
    <w:nsid w:val="78081BBE"/>
    <w:multiLevelType w:val="hybridMultilevel"/>
    <w:tmpl w:val="1E18FA42"/>
    <w:lvl w:ilvl="0" w:tplc="60CCF24C">
      <w:start w:val="1"/>
      <w:numFmt w:val="decimal"/>
      <w:lvlText w:val="%1."/>
      <w:lvlJc w:val="left"/>
      <w:pPr>
        <w:ind w:left="694" w:hanging="16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3"/>
        <w:w w:val="99"/>
        <w:sz w:val="20"/>
        <w:szCs w:val="20"/>
      </w:rPr>
    </w:lvl>
    <w:lvl w:ilvl="1" w:tplc="E978205A">
      <w:start w:val="1"/>
      <w:numFmt w:val="decimal"/>
      <w:lvlText w:val="%2)"/>
      <w:lvlJc w:val="left"/>
      <w:pPr>
        <w:ind w:left="694" w:hanging="257"/>
        <w:jc w:val="right"/>
      </w:pPr>
      <w:rPr>
        <w:rFonts w:ascii="Arial" w:eastAsia="Arial" w:hAnsi="Arial" w:cs="Arial" w:hint="default"/>
        <w:b/>
        <w:bCs/>
        <w:color w:val="231F20"/>
        <w:w w:val="94"/>
        <w:sz w:val="21"/>
        <w:szCs w:val="21"/>
      </w:rPr>
    </w:lvl>
    <w:lvl w:ilvl="2" w:tplc="8BB62D00">
      <w:start w:val="1"/>
      <w:numFmt w:val="decimal"/>
      <w:lvlText w:val="%3."/>
      <w:lvlJc w:val="left"/>
      <w:pPr>
        <w:ind w:left="1413" w:hanging="360"/>
        <w:jc w:val="right"/>
      </w:pPr>
      <w:rPr>
        <w:rFonts w:ascii="Arial" w:eastAsia="Arial" w:hAnsi="Arial" w:cs="Arial" w:hint="default"/>
        <w:b/>
        <w:bCs/>
        <w:color w:val="231F20"/>
        <w:w w:val="92"/>
        <w:sz w:val="22"/>
        <w:szCs w:val="22"/>
      </w:rPr>
    </w:lvl>
    <w:lvl w:ilvl="3" w:tplc="E4CAD71E">
      <w:start w:val="1"/>
      <w:numFmt w:val="decimal"/>
      <w:lvlText w:val="%4."/>
      <w:lvlJc w:val="left"/>
      <w:pPr>
        <w:ind w:left="998" w:hanging="324"/>
        <w:jc w:val="left"/>
      </w:pPr>
      <w:rPr>
        <w:rFonts w:ascii="Arial" w:eastAsia="Arial" w:hAnsi="Arial" w:cs="Arial" w:hint="default"/>
        <w:color w:val="231F20"/>
        <w:spacing w:val="0"/>
        <w:w w:val="91"/>
        <w:sz w:val="22"/>
        <w:szCs w:val="22"/>
      </w:rPr>
    </w:lvl>
    <w:lvl w:ilvl="4" w:tplc="2402C458">
      <w:numFmt w:val="bullet"/>
      <w:lvlText w:val="•"/>
      <w:lvlJc w:val="left"/>
      <w:pPr>
        <w:ind w:left="1055" w:hanging="324"/>
      </w:pPr>
      <w:rPr>
        <w:rFonts w:hint="default"/>
      </w:rPr>
    </w:lvl>
    <w:lvl w:ilvl="5" w:tplc="E3D4FC92">
      <w:numFmt w:val="bullet"/>
      <w:lvlText w:val="•"/>
      <w:lvlJc w:val="left"/>
      <w:pPr>
        <w:ind w:left="872" w:hanging="324"/>
      </w:pPr>
      <w:rPr>
        <w:rFonts w:hint="default"/>
      </w:rPr>
    </w:lvl>
    <w:lvl w:ilvl="6" w:tplc="1654D8A6">
      <w:numFmt w:val="bullet"/>
      <w:lvlText w:val="•"/>
      <w:lvlJc w:val="left"/>
      <w:pPr>
        <w:ind w:left="689" w:hanging="324"/>
      </w:pPr>
      <w:rPr>
        <w:rFonts w:hint="default"/>
      </w:rPr>
    </w:lvl>
    <w:lvl w:ilvl="7" w:tplc="D902BB52">
      <w:numFmt w:val="bullet"/>
      <w:lvlText w:val="•"/>
      <w:lvlJc w:val="left"/>
      <w:pPr>
        <w:ind w:left="507" w:hanging="324"/>
      </w:pPr>
      <w:rPr>
        <w:rFonts w:hint="default"/>
      </w:rPr>
    </w:lvl>
    <w:lvl w:ilvl="8" w:tplc="F2DEB8AA">
      <w:numFmt w:val="bullet"/>
      <w:lvlText w:val="•"/>
      <w:lvlJc w:val="left"/>
      <w:pPr>
        <w:ind w:left="324" w:hanging="32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03F0"/>
    <w:rsid w:val="0002385F"/>
    <w:rsid w:val="0028236C"/>
    <w:rsid w:val="003145DD"/>
    <w:rsid w:val="003616CA"/>
    <w:rsid w:val="003B03F0"/>
    <w:rsid w:val="004C463C"/>
    <w:rsid w:val="006300F4"/>
    <w:rsid w:val="00A576B8"/>
    <w:rsid w:val="00AB186B"/>
    <w:rsid w:val="00B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A1748379-E214-4EE1-8398-4A7138C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3F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03F0"/>
  </w:style>
  <w:style w:type="paragraph" w:customStyle="1" w:styleId="Ttulo11">
    <w:name w:val="Título 11"/>
    <w:basedOn w:val="Normal"/>
    <w:uiPriority w:val="1"/>
    <w:qFormat/>
    <w:rsid w:val="003B03F0"/>
    <w:pPr>
      <w:ind w:left="707"/>
      <w:outlineLvl w:val="1"/>
    </w:pPr>
    <w:rPr>
      <w:rFonts w:ascii="Arial" w:eastAsia="Arial" w:hAnsi="Arial" w:cs="Arial"/>
      <w:b/>
      <w:bCs/>
      <w:sz w:val="47"/>
      <w:szCs w:val="47"/>
    </w:rPr>
  </w:style>
  <w:style w:type="paragraph" w:customStyle="1" w:styleId="Ttulo21">
    <w:name w:val="Título 21"/>
    <w:basedOn w:val="Normal"/>
    <w:uiPriority w:val="1"/>
    <w:qFormat/>
    <w:rsid w:val="003B03F0"/>
    <w:pPr>
      <w:ind w:left="380" w:right="874"/>
      <w:jc w:val="center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Ttulo31">
    <w:name w:val="Título 31"/>
    <w:basedOn w:val="Normal"/>
    <w:uiPriority w:val="1"/>
    <w:qFormat/>
    <w:rsid w:val="003B03F0"/>
    <w:pPr>
      <w:spacing w:before="258"/>
      <w:ind w:left="380" w:right="875"/>
      <w:jc w:val="center"/>
      <w:outlineLvl w:val="3"/>
    </w:pPr>
    <w:rPr>
      <w:rFonts w:ascii="Arial" w:eastAsia="Arial" w:hAnsi="Arial" w:cs="Arial"/>
      <w:sz w:val="34"/>
      <w:szCs w:val="34"/>
    </w:rPr>
  </w:style>
  <w:style w:type="paragraph" w:customStyle="1" w:styleId="Ttulo41">
    <w:name w:val="Título 41"/>
    <w:basedOn w:val="Normal"/>
    <w:uiPriority w:val="1"/>
    <w:qFormat/>
    <w:rsid w:val="003B03F0"/>
    <w:pPr>
      <w:ind w:left="713"/>
      <w:outlineLvl w:val="4"/>
    </w:pPr>
    <w:rPr>
      <w:rFonts w:ascii="Arial" w:eastAsia="Arial" w:hAnsi="Arial" w:cs="Arial"/>
      <w:b/>
      <w:bCs/>
      <w:i/>
      <w:sz w:val="24"/>
      <w:szCs w:val="24"/>
    </w:rPr>
  </w:style>
  <w:style w:type="paragraph" w:customStyle="1" w:styleId="Ttulo51">
    <w:name w:val="Título 51"/>
    <w:basedOn w:val="Normal"/>
    <w:uiPriority w:val="1"/>
    <w:qFormat/>
    <w:rsid w:val="003B03F0"/>
    <w:pPr>
      <w:outlineLvl w:val="5"/>
    </w:pPr>
    <w:rPr>
      <w:rFonts w:ascii="Arial" w:eastAsia="Arial" w:hAnsi="Arial" w:cs="Arial"/>
      <w:i/>
      <w:sz w:val="24"/>
      <w:szCs w:val="24"/>
      <w:u w:val="single" w:color="000000"/>
    </w:rPr>
  </w:style>
  <w:style w:type="paragraph" w:customStyle="1" w:styleId="Ttulo61">
    <w:name w:val="Título 61"/>
    <w:basedOn w:val="Normal"/>
    <w:uiPriority w:val="1"/>
    <w:qFormat/>
    <w:rsid w:val="003B03F0"/>
    <w:pPr>
      <w:ind w:left="278"/>
      <w:jc w:val="both"/>
      <w:outlineLvl w:val="6"/>
    </w:pPr>
    <w:rPr>
      <w:b/>
      <w:bCs/>
    </w:rPr>
  </w:style>
  <w:style w:type="paragraph" w:customStyle="1" w:styleId="Ttulo71">
    <w:name w:val="Título 71"/>
    <w:basedOn w:val="Normal"/>
    <w:uiPriority w:val="1"/>
    <w:qFormat/>
    <w:rsid w:val="003B03F0"/>
    <w:pPr>
      <w:ind w:left="278"/>
      <w:jc w:val="both"/>
      <w:outlineLvl w:val="7"/>
    </w:pPr>
    <w:rPr>
      <w:b/>
      <w:bCs/>
      <w:i/>
    </w:rPr>
  </w:style>
  <w:style w:type="paragraph" w:styleId="Prrafodelista">
    <w:name w:val="List Paragraph"/>
    <w:basedOn w:val="Normal"/>
    <w:uiPriority w:val="1"/>
    <w:qFormat/>
    <w:rsid w:val="003B03F0"/>
    <w:pPr>
      <w:ind w:left="703" w:hanging="36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B03F0"/>
    <w:pPr>
      <w:spacing w:line="155" w:lineRule="exact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6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0B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2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0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2ldgN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alergia revista pdf</vt:lpstr>
    </vt:vector>
  </TitlesOfParts>
  <Company>Gobierno de Cordoba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alergia revista pdf</dc:title>
  <dc:creator>Administrador</dc:creator>
  <cp:lastModifiedBy>Servicio Medico Monte Cristo</cp:lastModifiedBy>
  <cp:revision>3</cp:revision>
  <dcterms:created xsi:type="dcterms:W3CDTF">2018-05-29T20:36:00Z</dcterms:created>
  <dcterms:modified xsi:type="dcterms:W3CDTF">2018-05-29T20:37:00Z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2018-05-29T00:00:00Z</vt:filetime>
  </property>
</Properties>
</file>