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79" w:type="dxa"/>
        <w:tblCellSpacing w:w="0" w:type="dxa"/>
        <w:shd w:val="clear" w:color="auto" w:fill="FFFFFF"/>
        <w:tblCellMar>
          <w:left w:w="0" w:type="dxa"/>
          <w:right w:w="0" w:type="dxa"/>
        </w:tblCellMar>
        <w:tblLook w:val="04A0"/>
      </w:tblPr>
      <w:tblGrid>
        <w:gridCol w:w="37"/>
        <w:gridCol w:w="7436"/>
        <w:gridCol w:w="6"/>
      </w:tblGrid>
      <w:tr w:rsidR="00A5387C" w:rsidRPr="00A5387C" w:rsidTr="00A5387C">
        <w:trPr>
          <w:tblCellSpacing w:w="0" w:type="dxa"/>
        </w:trPr>
        <w:tc>
          <w:tcPr>
            <w:tcW w:w="0" w:type="auto"/>
            <w:gridSpan w:val="3"/>
            <w:shd w:val="clear" w:color="auto" w:fill="FFFFFF"/>
            <w:hideMark/>
          </w:tcPr>
          <w:tbl>
            <w:tblPr>
              <w:tblW w:w="7479" w:type="dxa"/>
              <w:tblCellSpacing w:w="0" w:type="dxa"/>
              <w:tblCellMar>
                <w:left w:w="0" w:type="dxa"/>
                <w:right w:w="0" w:type="dxa"/>
              </w:tblCellMar>
              <w:tblLook w:val="04A0"/>
            </w:tblPr>
            <w:tblGrid>
              <w:gridCol w:w="7479"/>
            </w:tblGrid>
            <w:tr w:rsidR="00A5387C" w:rsidRPr="00A5387C">
              <w:trPr>
                <w:tblCellSpacing w:w="0" w:type="dxa"/>
              </w:trPr>
              <w:tc>
                <w:tcPr>
                  <w:tcW w:w="0" w:type="auto"/>
                  <w:vAlign w:val="center"/>
                  <w:hideMark/>
                </w:tcPr>
                <w:p w:rsidR="00A5387C" w:rsidRPr="00A5387C" w:rsidRDefault="00A5387C" w:rsidP="00A5387C">
                  <w:pPr>
                    <w:spacing w:after="0" w:line="240" w:lineRule="auto"/>
                    <w:outlineLvl w:val="0"/>
                    <w:rPr>
                      <w:rFonts w:ascii="Times New Roman" w:eastAsia="Times New Roman" w:hAnsi="Times New Roman" w:cs="Times New Roman"/>
                      <w:b/>
                      <w:bCs/>
                      <w:kern w:val="36"/>
                      <w:sz w:val="17"/>
                      <w:szCs w:val="17"/>
                      <w:lang w:eastAsia="es-UY"/>
                    </w:rPr>
                  </w:pPr>
                  <w:r w:rsidRPr="00A5387C">
                    <w:rPr>
                      <w:rFonts w:ascii="Arial" w:eastAsia="Times New Roman" w:hAnsi="Arial" w:cs="Arial"/>
                      <w:b/>
                      <w:bCs/>
                      <w:color w:val="000000"/>
                      <w:kern w:val="36"/>
                      <w:sz w:val="54"/>
                      <w:szCs w:val="54"/>
                      <w:lang w:eastAsia="es-UY"/>
                    </w:rPr>
                    <w:t>Decreto Nº 69/010</w:t>
                  </w:r>
                </w:p>
              </w:tc>
            </w:tr>
          </w:tbl>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rsidTr="00A5387C">
        <w:trPr>
          <w:tblCellSpacing w:w="0" w:type="dxa"/>
        </w:trPr>
        <w:tc>
          <w:tcPr>
            <w:tcW w:w="0" w:type="auto"/>
            <w:shd w:val="clear" w:color="auto" w:fill="FFFFFF"/>
            <w:hideMark/>
          </w:tcPr>
          <w:tbl>
            <w:tblPr>
              <w:tblW w:w="0" w:type="auto"/>
              <w:tblCellSpacing w:w="0" w:type="dxa"/>
              <w:tblCellMar>
                <w:top w:w="15" w:type="dxa"/>
                <w:left w:w="15" w:type="dxa"/>
                <w:bottom w:w="15" w:type="dxa"/>
                <w:right w:w="15" w:type="dxa"/>
              </w:tblCellMar>
              <w:tblLook w:val="04A0"/>
            </w:tblPr>
            <w:tblGrid>
              <w:gridCol w:w="36"/>
            </w:tblGrid>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bl>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c>
          <w:tcPr>
            <w:tcW w:w="7329" w:type="dxa"/>
            <w:shd w:val="clear" w:color="auto" w:fill="FFFFFF"/>
            <w:hideMark/>
          </w:tcPr>
          <w:tbl>
            <w:tblPr>
              <w:tblW w:w="7329" w:type="dxa"/>
              <w:tblCellSpacing w:w="0" w:type="dxa"/>
              <w:tblCellMar>
                <w:top w:w="30" w:type="dxa"/>
                <w:left w:w="30" w:type="dxa"/>
                <w:bottom w:w="30" w:type="dxa"/>
                <w:right w:w="30" w:type="dxa"/>
              </w:tblCellMar>
              <w:tblLook w:val="04A0"/>
            </w:tblPr>
            <w:tblGrid>
              <w:gridCol w:w="3665"/>
              <w:gridCol w:w="3664"/>
            </w:tblGrid>
            <w:tr w:rsidR="00A5387C" w:rsidRPr="00A5387C">
              <w:trPr>
                <w:tblCellSpacing w:w="0" w:type="dxa"/>
              </w:trPr>
              <w:tc>
                <w:tcPr>
                  <w:tcW w:w="0" w:type="auto"/>
                  <w:vAlign w:val="center"/>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c>
                <w:tcPr>
                  <w:tcW w:w="0" w:type="auto"/>
                  <w:vAlign w:val="center"/>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r w:rsidR="00A5387C" w:rsidRPr="00A5387C">
              <w:trPr>
                <w:tblCellSpacing w:w="0" w:type="dxa"/>
              </w:trPr>
              <w:tc>
                <w:tcPr>
                  <w:tcW w:w="0" w:type="auto"/>
                  <w:gridSpan w:val="2"/>
                  <w:hideMark/>
                </w:tcPr>
                <w:tbl>
                  <w:tblPr>
                    <w:tblW w:w="5000" w:type="pct"/>
                    <w:tblCellSpacing w:w="0" w:type="dxa"/>
                    <w:tblCellMar>
                      <w:left w:w="0" w:type="dxa"/>
                      <w:right w:w="0" w:type="dxa"/>
                    </w:tblCellMar>
                    <w:tblLook w:val="04A0"/>
                  </w:tblPr>
                  <w:tblGrid>
                    <w:gridCol w:w="7269"/>
                  </w:tblGrid>
                  <w:tr w:rsidR="00A5387C" w:rsidRPr="00A5387C">
                    <w:trPr>
                      <w:tblCellSpacing w:w="0" w:type="dxa"/>
                    </w:trPr>
                    <w:tc>
                      <w:tcPr>
                        <w:tcW w:w="0" w:type="auto"/>
                        <w:hideMark/>
                      </w:tcPr>
                      <w:p w:rsidR="00A5387C" w:rsidRPr="00A5387C" w:rsidRDefault="00A5387C" w:rsidP="00A5387C">
                        <w:pPr>
                          <w:spacing w:after="0" w:line="240" w:lineRule="auto"/>
                          <w:rPr>
                            <w:rFonts w:ascii="Times New Roman" w:eastAsia="Times New Roman" w:hAnsi="Times New Roman" w:cs="Times New Roman"/>
                            <w:sz w:val="24"/>
                            <w:szCs w:val="24"/>
                            <w:lang w:eastAsia="es-UY"/>
                          </w:rPr>
                        </w:pPr>
                        <w:r w:rsidRPr="00A5387C">
                          <w:rPr>
                            <w:rFonts w:ascii="Arial" w:eastAsia="Times New Roman" w:hAnsi="Arial" w:cs="Arial"/>
                            <w:color w:val="000000"/>
                            <w:sz w:val="13"/>
                            <w:szCs w:val="13"/>
                            <w:lang w:eastAsia="es-UY"/>
                          </w:rPr>
                          <w:t>Tabacos y cigarrillos – IMESI – Base específica, tasas e impuestos aplicables</w:t>
                        </w:r>
                      </w:p>
                    </w:tc>
                  </w:tr>
                </w:tbl>
                <w:p w:rsidR="00A5387C" w:rsidRPr="00A5387C" w:rsidRDefault="00A5387C" w:rsidP="00A5387C">
                  <w:pPr>
                    <w:spacing w:after="0" w:line="240" w:lineRule="auto"/>
                    <w:rPr>
                      <w:rFonts w:ascii="Times New Roman" w:eastAsia="Times New Roman" w:hAnsi="Times New Roman" w:cs="Times New Roman"/>
                      <w:vanish/>
                      <w:sz w:val="24"/>
                      <w:szCs w:val="24"/>
                      <w:lang w:eastAsia="es-UY"/>
                    </w:rPr>
                  </w:pPr>
                </w:p>
                <w:tbl>
                  <w:tblPr>
                    <w:tblW w:w="0" w:type="auto"/>
                    <w:tblCellSpacing w:w="0" w:type="dxa"/>
                    <w:tblCellMar>
                      <w:left w:w="0" w:type="dxa"/>
                      <w:right w:w="0" w:type="dxa"/>
                    </w:tblCellMar>
                    <w:tblLook w:val="04A0"/>
                  </w:tblPr>
                  <w:tblGrid>
                    <w:gridCol w:w="6"/>
                  </w:tblGrid>
                  <w:tr w:rsidR="00A5387C" w:rsidRPr="00A5387C">
                    <w:trPr>
                      <w:trHeight w:val="150"/>
                      <w:tblCellSpacing w:w="0" w:type="dxa"/>
                    </w:trPr>
                    <w:tc>
                      <w:tcPr>
                        <w:tcW w:w="0" w:type="auto"/>
                        <w:vAlign w:val="center"/>
                        <w:hideMark/>
                      </w:tcPr>
                      <w:p w:rsidR="00A5387C" w:rsidRPr="00A5387C" w:rsidRDefault="00A5387C" w:rsidP="00A5387C">
                        <w:pPr>
                          <w:spacing w:after="0" w:line="150" w:lineRule="atLeast"/>
                          <w:rPr>
                            <w:rFonts w:ascii="Times New Roman" w:eastAsia="Times New Roman" w:hAnsi="Times New Roman" w:cs="Times New Roman"/>
                            <w:sz w:val="24"/>
                            <w:szCs w:val="24"/>
                            <w:lang w:eastAsia="es-UY"/>
                          </w:rPr>
                        </w:pPr>
                      </w:p>
                    </w:tc>
                  </w:tr>
                </w:tbl>
                <w:p w:rsidR="00A5387C" w:rsidRPr="00A5387C" w:rsidRDefault="00A5387C" w:rsidP="00A5387C">
                  <w:pPr>
                    <w:spacing w:after="0" w:line="240" w:lineRule="auto"/>
                    <w:rPr>
                      <w:rFonts w:ascii="Times New Roman" w:eastAsia="Times New Roman" w:hAnsi="Times New Roman" w:cs="Times New Roman"/>
                      <w:vanish/>
                      <w:sz w:val="24"/>
                      <w:szCs w:val="24"/>
                      <w:lang w:eastAsia="es-UY"/>
                    </w:rPr>
                  </w:pPr>
                </w:p>
                <w:tbl>
                  <w:tblPr>
                    <w:tblW w:w="5000" w:type="pct"/>
                    <w:tblCellSpacing w:w="0" w:type="dxa"/>
                    <w:tblCellMar>
                      <w:left w:w="0" w:type="dxa"/>
                      <w:right w:w="0" w:type="dxa"/>
                    </w:tblCellMar>
                    <w:tblLook w:val="04A0"/>
                  </w:tblPr>
                  <w:tblGrid>
                    <w:gridCol w:w="7269"/>
                  </w:tblGrid>
                  <w:tr w:rsidR="00A5387C" w:rsidRPr="00A5387C">
                    <w:trPr>
                      <w:tblCellSpacing w:w="0" w:type="dxa"/>
                    </w:trPr>
                    <w:tc>
                      <w:tcPr>
                        <w:tcW w:w="0" w:type="auto"/>
                        <w:hideMark/>
                      </w:tcPr>
                      <w:p w:rsidR="00A5387C" w:rsidRPr="00A5387C" w:rsidRDefault="00A5387C" w:rsidP="00A5387C">
                        <w:pPr>
                          <w:spacing w:after="0" w:line="240" w:lineRule="auto"/>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Ministerio de Economía y Finanzas</w:t>
                        </w:r>
                      </w:p>
                      <w:p w:rsidR="00A5387C" w:rsidRPr="00A5387C" w:rsidRDefault="00A5387C" w:rsidP="00A5387C">
                        <w:pPr>
                          <w:spacing w:after="0" w:line="220" w:lineRule="atLeast"/>
                          <w:ind w:firstLine="142"/>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right"/>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Montevideo, 22 de Febrero de 2010</w:t>
                        </w:r>
                      </w:p>
                      <w:p w:rsidR="00A5387C" w:rsidRPr="00A5387C" w:rsidRDefault="00A5387C" w:rsidP="00A5387C">
                        <w:pPr>
                          <w:spacing w:after="0" w:line="220" w:lineRule="atLeast"/>
                          <w:ind w:firstLine="142"/>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Visto</w:t>
                        </w:r>
                        <w:r w:rsidRPr="00A5387C">
                          <w:rPr>
                            <w:rFonts w:ascii="Arial" w:eastAsia="Times New Roman" w:hAnsi="Arial" w:cs="Arial"/>
                            <w:b/>
                            <w:bCs/>
                            <w:color w:val="000000"/>
                            <w:sz w:val="13"/>
                            <w:szCs w:val="13"/>
                            <w:lang w:eastAsia="es-UY"/>
                          </w:rPr>
                          <w:t>:</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el Impuesto Específico Interno (IMESI) que grava los tabacos y cigarrillos.</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Resultando</w:t>
                        </w:r>
                        <w:r w:rsidRPr="00A5387C">
                          <w:rPr>
                            <w:rFonts w:ascii="Arial" w:eastAsia="Times New Roman" w:hAnsi="Arial" w:cs="Arial"/>
                            <w:b/>
                            <w:bCs/>
                            <w:color w:val="000000"/>
                            <w:sz w:val="13"/>
                            <w:szCs w:val="13"/>
                            <w:lang w:eastAsia="es-UY"/>
                          </w:rPr>
                          <w:t>: I)</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que es propósito del Gobierno Nacional continuar profundizando las medidas que apuntan a disminuir el tabaquismo en la población.</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color w:val="000000"/>
                            <w:sz w:val="13"/>
                            <w:szCs w:val="13"/>
                            <w:lang w:eastAsia="es-UY"/>
                          </w:rPr>
                          <w:t>II)</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que la normativa en vigencia establece una tributación reducida para los cigarrillos que se comercializan en diferentes regímenes y para los tabacos en general.</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Considerando</w:t>
                        </w:r>
                        <w:r w:rsidRPr="00A5387C">
                          <w:rPr>
                            <w:rFonts w:ascii="Arial" w:eastAsia="Times New Roman" w:hAnsi="Arial" w:cs="Arial"/>
                            <w:b/>
                            <w:bCs/>
                            <w:color w:val="000000"/>
                            <w:sz w:val="13"/>
                            <w:szCs w:val="13"/>
                            <w:lang w:eastAsia="es-UY"/>
                          </w:rPr>
                          <w:t>: I)</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que dentro del conjunto de medidas adoptadas para combatir la referida adicción, se ha verificado que el aumento en la tributación constituye un instrumento eficaz en la consecución de los fines mencionados.</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color w:val="000000"/>
                            <w:sz w:val="13"/>
                            <w:szCs w:val="13"/>
                            <w:lang w:eastAsia="es-UY"/>
                          </w:rPr>
                          <w:t>II)</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conveniente disponer un incremento sustancial de la base imponible del impuesto referido, mediante la unificación de las tasas aplicables a los tabacos y cigarrillos.</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Atento</w:t>
                        </w:r>
                        <w:r w:rsidRPr="00A5387C">
                          <w:rPr>
                            <w:rFonts w:ascii="Arial" w:eastAsia="Times New Roman" w:hAnsi="Arial" w:cs="Arial"/>
                            <w:b/>
                            <w:bCs/>
                            <w:color w:val="000000"/>
                            <w:sz w:val="13"/>
                            <w:szCs w:val="13"/>
                            <w:lang w:eastAsia="es-UY"/>
                          </w:rPr>
                          <w:t>:</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a lo dispuesto por los artículos 1º y 8º del Título 11 del Texto Ordenado 1996.</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El Presidente de la República</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color w:val="000000"/>
                            <w:sz w:val="13"/>
                            <w:szCs w:val="13"/>
                            <w:lang w:eastAsia="es-UY"/>
                          </w:rPr>
                          <w:t> </w:t>
                        </w:r>
                      </w:p>
                      <w:p w:rsidR="00A5387C" w:rsidRPr="00A5387C" w:rsidRDefault="00A5387C" w:rsidP="00A5387C">
                        <w:pPr>
                          <w:spacing w:after="0" w:line="220" w:lineRule="atLeast"/>
                          <w:ind w:firstLine="142"/>
                          <w:jc w:val="center"/>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D E C R E T A</w:t>
                        </w:r>
                        <w:r w:rsidRPr="00A5387C">
                          <w:rPr>
                            <w:rFonts w:ascii="Arial" w:eastAsia="Times New Roman" w:hAnsi="Arial" w:cs="Arial"/>
                            <w:b/>
                            <w:bCs/>
                            <w:color w:val="000000"/>
                            <w:sz w:val="13"/>
                            <w:szCs w:val="13"/>
                            <w:lang w:eastAsia="es-UY"/>
                          </w:rPr>
                          <w:t>:</w:t>
                        </w:r>
                      </w:p>
                      <w:p w:rsidR="00A5387C" w:rsidRPr="00A5387C" w:rsidRDefault="00A5387C" w:rsidP="00A5387C">
                        <w:pPr>
                          <w:spacing w:after="0" w:line="220" w:lineRule="atLeast"/>
                          <w:ind w:firstLine="142"/>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Artículo</w:t>
                        </w:r>
                        <w:r w:rsidRPr="00A5387C">
                          <w:rPr>
                            <w:rFonts w:ascii="Arial" w:eastAsia="Times New Roman" w:hAnsi="Arial" w:cs="Arial"/>
                            <w:b/>
                            <w:bCs/>
                            <w:color w:val="000000"/>
                            <w:sz w:val="13"/>
                            <w:lang w:eastAsia="es-UY"/>
                          </w:rPr>
                          <w:t> </w:t>
                        </w:r>
                        <w:r w:rsidRPr="00A5387C">
                          <w:rPr>
                            <w:rFonts w:ascii="Arial" w:eastAsia="Times New Roman" w:hAnsi="Arial" w:cs="Arial"/>
                            <w:b/>
                            <w:bCs/>
                            <w:color w:val="000000"/>
                            <w:sz w:val="13"/>
                            <w:szCs w:val="13"/>
                            <w:lang w:eastAsia="es-UY"/>
                          </w:rPr>
                          <w:t>1º.-</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Se establecen las siguientes bases específicas, tasas e impuestos para los tabacos y cigarrillos, a efectos de la liquidación del Impuesto Específico Interno:</w:t>
                        </w:r>
                      </w:p>
                      <w:p w:rsidR="00A5387C" w:rsidRPr="00A5387C" w:rsidRDefault="00A5387C" w:rsidP="00A5387C">
                        <w:pPr>
                          <w:spacing w:after="0" w:line="220" w:lineRule="atLeast"/>
                          <w:ind w:firstLine="142"/>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tbl>
                        <w:tblPr>
                          <w:tblW w:w="0" w:type="auto"/>
                          <w:jc w:val="center"/>
                          <w:tblCellMar>
                            <w:left w:w="0" w:type="dxa"/>
                            <w:right w:w="0" w:type="dxa"/>
                          </w:tblCellMar>
                          <w:tblLook w:val="04A0"/>
                        </w:tblPr>
                        <w:tblGrid>
                          <w:gridCol w:w="1647"/>
                          <w:gridCol w:w="1981"/>
                          <w:gridCol w:w="1904"/>
                          <w:gridCol w:w="1717"/>
                        </w:tblGrid>
                        <w:tr w:rsidR="00A5387C" w:rsidRPr="00A5387C">
                          <w:trPr>
                            <w:jc w:val="center"/>
                          </w:trPr>
                          <w:tc>
                            <w:tcPr>
                              <w:tcW w:w="18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Concepto</w:t>
                              </w:r>
                            </w:p>
                          </w:tc>
                          <w:tc>
                            <w:tcPr>
                              <w:tcW w:w="230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Base Específica</w:t>
                              </w:r>
                            </w:p>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w:t>
                              </w:r>
                            </w:p>
                          </w:tc>
                          <w:tc>
                            <w:tcPr>
                              <w:tcW w:w="230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ind w:firstLine="92"/>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Tasa</w:t>
                              </w:r>
                            </w:p>
                            <w:p w:rsidR="00A5387C" w:rsidRPr="00A5387C" w:rsidRDefault="00A5387C" w:rsidP="00A5387C">
                              <w:pPr>
                                <w:spacing w:after="0" w:line="220" w:lineRule="atLeast"/>
                                <w:ind w:firstLine="92"/>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w:t>
                              </w:r>
                            </w:p>
                          </w:tc>
                          <w:tc>
                            <w:tcPr>
                              <w:tcW w:w="198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Impuesto</w:t>
                              </w:r>
                            </w:p>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w:t>
                              </w:r>
                            </w:p>
                          </w:tc>
                        </w:tr>
                        <w:tr w:rsidR="00A5387C" w:rsidRPr="00A5387C">
                          <w:trPr>
                            <w:jc w:val="center"/>
                          </w:trPr>
                          <w:tc>
                            <w:tcPr>
                              <w:tcW w:w="187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Tabacos</w:t>
                              </w:r>
                            </w:p>
                          </w:tc>
                          <w:tc>
                            <w:tcPr>
                              <w:tcW w:w="23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24,29</w:t>
                              </w:r>
                            </w:p>
                          </w:tc>
                          <w:tc>
                            <w:tcPr>
                              <w:tcW w:w="23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70</w:t>
                              </w:r>
                            </w:p>
                          </w:tc>
                          <w:tc>
                            <w:tcPr>
                              <w:tcW w:w="1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17</w:t>
                              </w:r>
                            </w:p>
                          </w:tc>
                        </w:tr>
                        <w:tr w:rsidR="00A5387C" w:rsidRPr="00A5387C">
                          <w:trPr>
                            <w:jc w:val="center"/>
                          </w:trPr>
                          <w:tc>
                            <w:tcPr>
                              <w:tcW w:w="187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b/>
                                  <w:bCs/>
                                  <w:sz w:val="13"/>
                                  <w:szCs w:val="13"/>
                                  <w:lang w:eastAsia="es-UY"/>
                                </w:rPr>
                                <w:t>Cigarrillos</w:t>
                              </w:r>
                            </w:p>
                          </w:tc>
                          <w:tc>
                            <w:tcPr>
                              <w:tcW w:w="23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54,29</w:t>
                              </w:r>
                            </w:p>
                          </w:tc>
                          <w:tc>
                            <w:tcPr>
                              <w:tcW w:w="23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70</w:t>
                              </w:r>
                            </w:p>
                          </w:tc>
                          <w:tc>
                            <w:tcPr>
                              <w:tcW w:w="19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5387C" w:rsidRPr="00A5387C" w:rsidRDefault="00A5387C" w:rsidP="00A5387C">
                              <w:pPr>
                                <w:spacing w:after="0" w:line="220" w:lineRule="atLeast"/>
                                <w:jc w:val="center"/>
                                <w:rPr>
                                  <w:rFonts w:ascii="Times New Roman" w:eastAsia="Times New Roman" w:hAnsi="Times New Roman" w:cs="Times New Roman"/>
                                  <w:sz w:val="24"/>
                                  <w:szCs w:val="24"/>
                                  <w:lang w:eastAsia="es-UY"/>
                                </w:rPr>
                              </w:pPr>
                              <w:r w:rsidRPr="00A5387C">
                                <w:rPr>
                                  <w:rFonts w:ascii="Arial" w:eastAsia="Times New Roman" w:hAnsi="Arial" w:cs="Arial"/>
                                  <w:sz w:val="13"/>
                                  <w:szCs w:val="13"/>
                                  <w:lang w:eastAsia="es-UY"/>
                                </w:rPr>
                                <w:t>38</w:t>
                              </w:r>
                            </w:p>
                          </w:tc>
                        </w:tr>
                      </w:tbl>
                      <w:p w:rsidR="00A5387C" w:rsidRPr="00A5387C" w:rsidRDefault="00A5387C" w:rsidP="00A5387C">
                        <w:pPr>
                          <w:spacing w:after="0" w:line="220" w:lineRule="atLeast"/>
                          <w:ind w:firstLine="142"/>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El impuesto establecido para los cigarrillos comprende los comercializados en el régimen de “Free Shop” y en el marco del Decreto Nº 246/985.</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Cuando las cajillas de cigarrillos contengan una cantidad diferente a 20 (veinte) unidades, la base específica referida se determinará en forma proporcional.</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Los valores establecidos para los tabacos corresponden a paquetes de 45 (cuarenta y cinco) gramos de contenido neto; en el caso de paquetes con contenido neto diferente, la base específica se determinará proporcionalmente.</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Artículo</w:t>
                        </w:r>
                        <w:r w:rsidRPr="00A5387C">
                          <w:rPr>
                            <w:rFonts w:ascii="Arial" w:eastAsia="Times New Roman" w:hAnsi="Arial" w:cs="Arial"/>
                            <w:b/>
                            <w:bCs/>
                            <w:color w:val="000000"/>
                            <w:sz w:val="13"/>
                            <w:lang w:eastAsia="es-UY"/>
                          </w:rPr>
                          <w:t> </w:t>
                        </w:r>
                        <w:r w:rsidRPr="00A5387C">
                          <w:rPr>
                            <w:rFonts w:ascii="Arial" w:eastAsia="Times New Roman" w:hAnsi="Arial" w:cs="Arial"/>
                            <w:b/>
                            <w:bCs/>
                            <w:color w:val="000000"/>
                            <w:sz w:val="13"/>
                            <w:szCs w:val="13"/>
                            <w:lang w:eastAsia="es-UY"/>
                          </w:rPr>
                          <w:t>2º.-</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Las disposiciones establecidas en el presente decreto regirán a partir del 1º de marzo de 2010.</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8"/>
                            <w:szCs w:val="18"/>
                            <w:lang w:eastAsia="es-UY"/>
                          </w:rPr>
                          <w:t> </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i/>
                            <w:iCs/>
                            <w:color w:val="000000"/>
                            <w:sz w:val="13"/>
                            <w:szCs w:val="13"/>
                            <w:lang w:eastAsia="es-UY"/>
                          </w:rPr>
                          <w:t>Artículo</w:t>
                        </w:r>
                        <w:r w:rsidRPr="00A5387C">
                          <w:rPr>
                            <w:rFonts w:ascii="Arial" w:eastAsia="Times New Roman" w:hAnsi="Arial" w:cs="Arial"/>
                            <w:b/>
                            <w:bCs/>
                            <w:color w:val="000000"/>
                            <w:sz w:val="13"/>
                            <w:lang w:eastAsia="es-UY"/>
                          </w:rPr>
                          <w:t> </w:t>
                        </w:r>
                        <w:r w:rsidRPr="00A5387C">
                          <w:rPr>
                            <w:rFonts w:ascii="Arial" w:eastAsia="Times New Roman" w:hAnsi="Arial" w:cs="Arial"/>
                            <w:b/>
                            <w:bCs/>
                            <w:color w:val="000000"/>
                            <w:sz w:val="13"/>
                            <w:szCs w:val="13"/>
                            <w:lang w:eastAsia="es-UY"/>
                          </w:rPr>
                          <w:t>3º.-</w:t>
                        </w:r>
                        <w:r w:rsidRPr="00A5387C">
                          <w:rPr>
                            <w:rFonts w:ascii="Arial" w:eastAsia="Times New Roman" w:hAnsi="Arial" w:cs="Arial"/>
                            <w:b/>
                            <w:bCs/>
                            <w:color w:val="000000"/>
                            <w:sz w:val="13"/>
                            <w:lang w:eastAsia="es-UY"/>
                          </w:rPr>
                          <w:t> </w:t>
                        </w:r>
                        <w:r w:rsidRPr="00A5387C">
                          <w:rPr>
                            <w:rFonts w:ascii="Arial" w:eastAsia="Times New Roman" w:hAnsi="Arial" w:cs="Arial"/>
                            <w:color w:val="000000"/>
                            <w:sz w:val="13"/>
                            <w:szCs w:val="13"/>
                            <w:lang w:eastAsia="es-UY"/>
                          </w:rPr>
                          <w:t>Comuníquese, publíquese y archívese.</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b/>
                            <w:bCs/>
                            <w:color w:val="000000"/>
                            <w:sz w:val="13"/>
                            <w:szCs w:val="13"/>
                            <w:lang w:eastAsia="es-UY"/>
                          </w:rPr>
                          <w:t>RODOLFO NÍN NOVOA, Vicepresidente de la República en ejercicio de la Presidencia</w:t>
                        </w:r>
                        <w:r w:rsidRPr="00A5387C">
                          <w:rPr>
                            <w:rFonts w:ascii="Arial" w:eastAsia="Times New Roman" w:hAnsi="Arial" w:cs="Arial"/>
                            <w:color w:val="000000"/>
                            <w:sz w:val="13"/>
                            <w:szCs w:val="13"/>
                            <w:lang w:eastAsia="es-UY"/>
                          </w:rPr>
                          <w:t>; ANDRÉS MASOLLER.</w:t>
                        </w:r>
                      </w:p>
                      <w:p w:rsidR="00A5387C" w:rsidRPr="00A5387C" w:rsidRDefault="00A5387C" w:rsidP="00A5387C">
                        <w:pPr>
                          <w:spacing w:after="0" w:line="220" w:lineRule="atLeast"/>
                          <w:ind w:firstLine="142"/>
                          <w:jc w:val="both"/>
                          <w:rPr>
                            <w:rFonts w:ascii="Arial" w:eastAsia="Times New Roman" w:hAnsi="Arial" w:cs="Arial"/>
                            <w:color w:val="000000"/>
                            <w:sz w:val="18"/>
                            <w:szCs w:val="18"/>
                            <w:lang w:eastAsia="es-UY"/>
                          </w:rPr>
                        </w:pPr>
                        <w:r w:rsidRPr="00A5387C">
                          <w:rPr>
                            <w:rFonts w:ascii="Arial" w:eastAsia="Times New Roman" w:hAnsi="Arial" w:cs="Arial"/>
                            <w:color w:val="000000"/>
                            <w:sz w:val="13"/>
                            <w:szCs w:val="13"/>
                            <w:lang w:eastAsia="es-UY"/>
                          </w:rPr>
                          <w:t>  </w:t>
                        </w:r>
                      </w:p>
                      <w:p w:rsidR="00A5387C" w:rsidRPr="00A5387C" w:rsidRDefault="00A5387C" w:rsidP="00A5387C">
                        <w:pPr>
                          <w:spacing w:after="0" w:line="220" w:lineRule="atLeast"/>
                          <w:ind w:firstLine="142"/>
                          <w:jc w:val="center"/>
                          <w:rPr>
                            <w:rFonts w:ascii="Arial" w:eastAsia="Times New Roman" w:hAnsi="Arial" w:cs="Arial"/>
                            <w:color w:val="000000"/>
                            <w:sz w:val="18"/>
                            <w:szCs w:val="18"/>
                            <w:lang w:eastAsia="es-UY"/>
                          </w:rPr>
                        </w:pPr>
                        <w:r w:rsidRPr="00A5387C">
                          <w:rPr>
                            <w:rFonts w:ascii="Arial" w:eastAsia="Times New Roman" w:hAnsi="Arial" w:cs="Arial"/>
                            <w:i/>
                            <w:iCs/>
                            <w:color w:val="000000"/>
                            <w:sz w:val="13"/>
                            <w:szCs w:val="13"/>
                            <w:lang w:eastAsia="es-UY"/>
                          </w:rPr>
                          <w:t>Publicado el 09.03.010 en el Diario Oficial Nº 27.932</w:t>
                        </w:r>
                        <w:r w:rsidRPr="00A5387C">
                          <w:rPr>
                            <w:rFonts w:ascii="Arial" w:eastAsia="Times New Roman" w:hAnsi="Arial" w:cs="Arial"/>
                            <w:color w:val="000000"/>
                            <w:sz w:val="13"/>
                            <w:szCs w:val="13"/>
                            <w:lang w:eastAsia="es-UY"/>
                          </w:rPr>
                          <w:t>.</w:t>
                        </w:r>
                      </w:p>
                    </w:tc>
                  </w:tr>
                </w:tbl>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r>
          </w:tbl>
          <w:p w:rsidR="00A5387C" w:rsidRPr="00A5387C" w:rsidRDefault="00A5387C" w:rsidP="00A5387C">
            <w:pPr>
              <w:spacing w:after="0" w:line="240" w:lineRule="auto"/>
              <w:rPr>
                <w:rFonts w:ascii="Times New Roman" w:eastAsia="Times New Roman" w:hAnsi="Times New Roman" w:cs="Times New Roman"/>
                <w:sz w:val="24"/>
                <w:szCs w:val="24"/>
                <w:lang w:eastAsia="es-UY"/>
              </w:rPr>
            </w:pPr>
          </w:p>
        </w:tc>
        <w:tc>
          <w:tcPr>
            <w:tcW w:w="0" w:type="auto"/>
            <w:shd w:val="clear" w:color="auto" w:fill="FFFFFF"/>
            <w:hideMark/>
          </w:tcPr>
          <w:p w:rsidR="00A5387C" w:rsidRPr="00A5387C" w:rsidRDefault="00A5387C" w:rsidP="00A5387C">
            <w:pPr>
              <w:spacing w:after="0" w:line="240" w:lineRule="auto"/>
              <w:rPr>
                <w:rFonts w:ascii="Times New Roman" w:eastAsia="Times New Roman" w:hAnsi="Times New Roman" w:cs="Times New Roman"/>
                <w:sz w:val="20"/>
                <w:szCs w:val="20"/>
                <w:lang w:eastAsia="es-UY"/>
              </w:rPr>
            </w:pPr>
          </w:p>
        </w:tc>
      </w:tr>
    </w:tbl>
    <w:p w:rsidR="009A68DE" w:rsidRDefault="009A68DE"/>
    <w:sectPr w:rsidR="009A68DE" w:rsidSect="009A68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5387C"/>
    <w:rsid w:val="009A68DE"/>
    <w:rsid w:val="00A5387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DE"/>
  </w:style>
  <w:style w:type="paragraph" w:styleId="Ttulo1">
    <w:name w:val="heading 1"/>
    <w:basedOn w:val="Normal"/>
    <w:link w:val="Ttulo1Car"/>
    <w:uiPriority w:val="9"/>
    <w:qFormat/>
    <w:rsid w:val="00A53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387C"/>
    <w:rPr>
      <w:rFonts w:ascii="Times New Roman" w:eastAsia="Times New Roman" w:hAnsi="Times New Roman" w:cs="Times New Roman"/>
      <w:b/>
      <w:bCs/>
      <w:kern w:val="36"/>
      <w:sz w:val="48"/>
      <w:szCs w:val="48"/>
      <w:lang w:eastAsia="es-UY"/>
    </w:rPr>
  </w:style>
  <w:style w:type="character" w:customStyle="1" w:styleId="apple-converted-space">
    <w:name w:val="apple-converted-space"/>
    <w:basedOn w:val="Fuentedeprrafopredeter"/>
    <w:rsid w:val="00A5387C"/>
  </w:style>
</w:styles>
</file>

<file path=word/webSettings.xml><?xml version="1.0" encoding="utf-8"?>
<w:webSettings xmlns:r="http://schemas.openxmlformats.org/officeDocument/2006/relationships" xmlns:w="http://schemas.openxmlformats.org/wordprocessingml/2006/main">
  <w:divs>
    <w:div w:id="1778790083">
      <w:bodyDiv w:val="1"/>
      <w:marLeft w:val="0"/>
      <w:marRight w:val="0"/>
      <w:marTop w:val="0"/>
      <w:marBottom w:val="0"/>
      <w:divBdr>
        <w:top w:val="none" w:sz="0" w:space="0" w:color="auto"/>
        <w:left w:val="none" w:sz="0" w:space="0" w:color="auto"/>
        <w:bottom w:val="none" w:sz="0" w:space="0" w:color="auto"/>
        <w:right w:val="none" w:sz="0" w:space="0" w:color="auto"/>
      </w:divBdr>
      <w:divsChild>
        <w:div w:id="621418747">
          <w:marLeft w:val="0"/>
          <w:marRight w:val="0"/>
          <w:marTop w:val="0"/>
          <w:marBottom w:val="0"/>
          <w:divBdr>
            <w:top w:val="none" w:sz="0" w:space="0" w:color="auto"/>
            <w:left w:val="none" w:sz="0" w:space="0" w:color="auto"/>
            <w:bottom w:val="none" w:sz="0" w:space="0" w:color="auto"/>
            <w:right w:val="none" w:sz="0" w:space="0" w:color="auto"/>
          </w:divBdr>
        </w:div>
        <w:div w:id="1783647631">
          <w:marLeft w:val="0"/>
          <w:marRight w:val="0"/>
          <w:marTop w:val="0"/>
          <w:marBottom w:val="0"/>
          <w:divBdr>
            <w:top w:val="none" w:sz="0" w:space="0" w:color="auto"/>
            <w:left w:val="none" w:sz="0" w:space="0" w:color="auto"/>
            <w:bottom w:val="none" w:sz="0" w:space="0" w:color="auto"/>
            <w:right w:val="none" w:sz="0" w:space="0" w:color="auto"/>
          </w:divBdr>
        </w:div>
        <w:div w:id="215162872">
          <w:marLeft w:val="0"/>
          <w:marRight w:val="0"/>
          <w:marTop w:val="0"/>
          <w:marBottom w:val="0"/>
          <w:divBdr>
            <w:top w:val="none" w:sz="0" w:space="0" w:color="auto"/>
            <w:left w:val="none" w:sz="0" w:space="0" w:color="auto"/>
            <w:bottom w:val="none" w:sz="0" w:space="0" w:color="auto"/>
            <w:right w:val="none" w:sz="0" w:space="0" w:color="auto"/>
          </w:divBdr>
        </w:div>
        <w:div w:id="1989942353">
          <w:marLeft w:val="0"/>
          <w:marRight w:val="0"/>
          <w:marTop w:val="0"/>
          <w:marBottom w:val="0"/>
          <w:divBdr>
            <w:top w:val="none" w:sz="0" w:space="0" w:color="auto"/>
            <w:left w:val="none" w:sz="0" w:space="0" w:color="auto"/>
            <w:bottom w:val="none" w:sz="0" w:space="0" w:color="auto"/>
            <w:right w:val="none" w:sz="0" w:space="0" w:color="auto"/>
          </w:divBdr>
        </w:div>
        <w:div w:id="1454783317">
          <w:marLeft w:val="0"/>
          <w:marRight w:val="0"/>
          <w:marTop w:val="0"/>
          <w:marBottom w:val="0"/>
          <w:divBdr>
            <w:top w:val="none" w:sz="0" w:space="0" w:color="auto"/>
            <w:left w:val="none" w:sz="0" w:space="0" w:color="auto"/>
            <w:bottom w:val="none" w:sz="0" w:space="0" w:color="auto"/>
            <w:right w:val="none" w:sz="0" w:space="0" w:color="auto"/>
          </w:divBdr>
        </w:div>
        <w:div w:id="1435789620">
          <w:marLeft w:val="0"/>
          <w:marRight w:val="0"/>
          <w:marTop w:val="0"/>
          <w:marBottom w:val="0"/>
          <w:divBdr>
            <w:top w:val="none" w:sz="0" w:space="0" w:color="auto"/>
            <w:left w:val="none" w:sz="0" w:space="0" w:color="auto"/>
            <w:bottom w:val="none" w:sz="0" w:space="0" w:color="auto"/>
            <w:right w:val="none" w:sz="0" w:space="0" w:color="auto"/>
          </w:divBdr>
        </w:div>
        <w:div w:id="52371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EB3C3898-5D95-4FAF-9FC5-6A2AD5AA8118}"/>
</file>

<file path=customXml/itemProps2.xml><?xml version="1.0" encoding="utf-8"?>
<ds:datastoreItem xmlns:ds="http://schemas.openxmlformats.org/officeDocument/2006/customXml" ds:itemID="{A826A9AE-0EC4-4A78-B12C-BE03B8FC88FD}"/>
</file>

<file path=customXml/itemProps3.xml><?xml version="1.0" encoding="utf-8"?>
<ds:datastoreItem xmlns:ds="http://schemas.openxmlformats.org/officeDocument/2006/customXml" ds:itemID="{026067A2-F43A-46B7-BF0D-932B14C74031}"/>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2014-06-16T18:31:00Z</dcterms:created>
  <dcterms:modified xsi:type="dcterms:W3CDTF">2014-06-16T18:33:00Z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