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7788" w14:textId="77777777" w:rsidR="00C613D6" w:rsidRPr="00C613D6" w:rsidRDefault="00C613D6" w:rsidP="00C613D6">
      <w:pPr>
        <w:pStyle w:val="western"/>
        <w:spacing w:before="0" w:beforeAutospacing="0" w:after="80" w:line="240" w:lineRule="auto"/>
        <w:jc w:val="both"/>
        <w:rPr>
          <w:rFonts w:eastAsia="Calibri" w:cs="Calibri"/>
          <w:b/>
          <w:bCs/>
          <w:iCs/>
          <w:sz w:val="28"/>
          <w:lang w:val="en-US"/>
        </w:rPr>
      </w:pPr>
      <w:r w:rsidRPr="00C613D6">
        <w:rPr>
          <w:rFonts w:eastAsia="Calibri" w:cs="Calibri"/>
          <w:b/>
          <w:bCs/>
          <w:iCs/>
          <w:sz w:val="28"/>
          <w:lang w:val="en-US"/>
        </w:rPr>
        <w:t>Blood and blood component transfusion for Jehovah´s Witnesses: a scoping review</w:t>
      </w:r>
    </w:p>
    <w:p w14:paraId="657D9EC6" w14:textId="77777777" w:rsidR="00415D79" w:rsidRPr="00C613D6" w:rsidRDefault="00415D79" w:rsidP="00824C14">
      <w:pPr>
        <w:spacing w:after="80" w:line="240" w:lineRule="auto"/>
        <w:rPr>
          <w:rFonts w:ascii="Calibri" w:eastAsia="Calibri" w:hAnsi="Calibri" w:cs="Calibri"/>
          <w:bCs/>
          <w:i/>
          <w:iCs/>
          <w:color w:val="000000" w:themeColor="text1"/>
          <w:sz w:val="22"/>
          <w:szCs w:val="16"/>
          <w:lang w:val="pt-BR"/>
        </w:rPr>
      </w:pPr>
      <w:r w:rsidRPr="00C613D6">
        <w:rPr>
          <w:rFonts w:ascii="Calibri" w:eastAsia="Calibri" w:hAnsi="Calibri" w:cs="Calibri"/>
          <w:bCs/>
          <w:i/>
          <w:iCs/>
          <w:color w:val="000000" w:themeColor="text1"/>
          <w:sz w:val="22"/>
          <w:szCs w:val="16"/>
          <w:lang w:val="pt-BR"/>
        </w:rPr>
        <w:t>Transfusão de sangue e hemocomponentes para as Testemunhas de Jeová: revisão de escopo</w:t>
      </w:r>
    </w:p>
    <w:p w14:paraId="1335ED7E" w14:textId="047DF19C" w:rsidR="003D53A7" w:rsidRPr="00D93B79" w:rsidRDefault="00D93B79" w:rsidP="00824C14">
      <w:pPr>
        <w:pStyle w:val="western"/>
        <w:spacing w:before="0" w:beforeAutospacing="0" w:after="80" w:line="240" w:lineRule="auto"/>
        <w:jc w:val="both"/>
        <w:rPr>
          <w:rFonts w:eastAsia="Calibri" w:cs="Calibri"/>
          <w:i/>
          <w:sz w:val="22"/>
          <w:szCs w:val="20"/>
          <w:lang w:val="es-ES"/>
        </w:rPr>
      </w:pPr>
      <w:r w:rsidRPr="00D93B79">
        <w:rPr>
          <w:rFonts w:eastAsia="Calibri" w:cs="Calibri"/>
          <w:i/>
          <w:sz w:val="22"/>
          <w:szCs w:val="20"/>
          <w:lang w:val="es-ES"/>
        </w:rPr>
        <w:t xml:space="preserve">Transfusión de sangre y </w:t>
      </w:r>
      <w:proofErr w:type="spellStart"/>
      <w:r w:rsidRPr="00D93B79">
        <w:rPr>
          <w:rFonts w:eastAsia="Calibri" w:cs="Calibri"/>
          <w:i/>
          <w:sz w:val="22"/>
          <w:szCs w:val="20"/>
          <w:lang w:val="es-ES"/>
        </w:rPr>
        <w:t>hemocomponentes</w:t>
      </w:r>
      <w:proofErr w:type="spellEnd"/>
      <w:r w:rsidRPr="00D93B79">
        <w:rPr>
          <w:rFonts w:eastAsia="Calibri" w:cs="Calibri"/>
          <w:i/>
          <w:sz w:val="22"/>
          <w:szCs w:val="20"/>
          <w:lang w:val="es-ES"/>
        </w:rPr>
        <w:t xml:space="preserve"> para los Testigos de Jehová: revisión del alcance</w:t>
      </w:r>
    </w:p>
    <w:p w14:paraId="16E4C1B2" w14:textId="77777777" w:rsidR="00C250D2" w:rsidRPr="00FC1113" w:rsidRDefault="00C250D2" w:rsidP="0065576B">
      <w:pPr>
        <w:spacing w:after="0" w:line="240" w:lineRule="auto"/>
        <w:rPr>
          <w:rFonts w:asciiTheme="minorHAnsi" w:hAnsiTheme="minorHAnsi" w:cstheme="minorHAnsi"/>
          <w:sz w:val="20"/>
          <w:szCs w:val="22"/>
          <w:lang w:val="es-ES"/>
        </w:rPr>
      </w:pPr>
    </w:p>
    <w:p w14:paraId="60E78D5C" w14:textId="2C29F209" w:rsidR="00F3259B" w:rsidRPr="00B23B91" w:rsidRDefault="00AD3A08" w:rsidP="002601A0">
      <w:pPr>
        <w:pStyle w:val="Eautor"/>
        <w:spacing w:after="120"/>
        <w:rPr>
          <w:color w:val="000000" w:themeColor="text1"/>
          <w:sz w:val="16"/>
          <w:szCs w:val="20"/>
          <w:shd w:val="clear" w:color="auto" w:fill="FFFFFF"/>
        </w:rPr>
      </w:pPr>
      <w:r w:rsidRPr="00BB6378">
        <w:rPr>
          <w:rFonts w:eastAsia="Calibri"/>
          <w:color w:val="000000" w:themeColor="text1"/>
          <w:szCs w:val="20"/>
          <w:highlight w:val="white"/>
        </w:rPr>
        <w:t xml:space="preserve">Quitéria Pires da Silva </w:t>
      </w:r>
      <w:proofErr w:type="spellStart"/>
      <w:r w:rsidRPr="00BB6378">
        <w:rPr>
          <w:rFonts w:eastAsia="Calibri"/>
          <w:color w:val="000000" w:themeColor="text1"/>
          <w:szCs w:val="20"/>
          <w:highlight w:val="white"/>
        </w:rPr>
        <w:t>Rodrigues</w:t>
      </w:r>
      <w:r w:rsidRPr="00BB6378">
        <w:rPr>
          <w:rFonts w:eastAsia="Calibri"/>
          <w:color w:val="000000" w:themeColor="text1"/>
          <w:szCs w:val="20"/>
          <w:highlight w:val="white"/>
          <w:vertAlign w:val="superscript"/>
        </w:rPr>
        <w:t>I</w:t>
      </w:r>
      <w:proofErr w:type="spellEnd"/>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3C23716C" wp14:editId="4D96234D">
            <wp:extent cx="86400" cy="90000"/>
            <wp:effectExtent l="0" t="0" r="8890" b="5715"/>
            <wp:docPr id="9" name="Imagem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w:t>
      </w:r>
      <w:r w:rsidRPr="00BB6378">
        <w:rPr>
          <w:rFonts w:eastAsia="Calibri"/>
          <w:color w:val="000000" w:themeColor="text1"/>
          <w:szCs w:val="20"/>
          <w:vertAlign w:val="superscript"/>
        </w:rPr>
        <w:t xml:space="preserve"> </w:t>
      </w:r>
      <w:r w:rsidRPr="00BB6378">
        <w:rPr>
          <w:rFonts w:eastAsia="Calibri"/>
          <w:color w:val="000000" w:themeColor="text1"/>
          <w:szCs w:val="20"/>
        </w:rPr>
        <w:t xml:space="preserve">Silvia Maria de Sá Basílio </w:t>
      </w:r>
      <w:proofErr w:type="spellStart"/>
      <w:r w:rsidRPr="00BB6378">
        <w:rPr>
          <w:rFonts w:eastAsia="Calibri"/>
          <w:color w:val="000000" w:themeColor="text1"/>
          <w:szCs w:val="20"/>
        </w:rPr>
        <w:t>Lins</w:t>
      </w:r>
      <w:r w:rsidRPr="00BB6378">
        <w:rPr>
          <w:rFonts w:eastAsia="Calibri"/>
          <w:color w:val="000000" w:themeColor="text1"/>
          <w:szCs w:val="20"/>
          <w:vertAlign w:val="superscript"/>
        </w:rPr>
        <w:t>I</w:t>
      </w:r>
      <w:proofErr w:type="spellEnd"/>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5F2452C2" wp14:editId="2C196D9B">
            <wp:extent cx="86400" cy="90000"/>
            <wp:effectExtent l="0" t="0" r="8890" b="5715"/>
            <wp:docPr id="8" name="Imagem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rPr>
        <w:t xml:space="preserve">; </w:t>
      </w:r>
      <w:r w:rsidRPr="00BB6378">
        <w:rPr>
          <w:rFonts w:eastAsia="Calibri"/>
          <w:color w:val="000000" w:themeColor="text1"/>
          <w:szCs w:val="20"/>
          <w:highlight w:val="white"/>
        </w:rPr>
        <w:t xml:space="preserve">Ellen Marcia </w:t>
      </w:r>
      <w:proofErr w:type="spellStart"/>
      <w:r w:rsidRPr="00BB6378">
        <w:rPr>
          <w:rFonts w:eastAsia="Calibri"/>
          <w:color w:val="000000" w:themeColor="text1"/>
          <w:szCs w:val="20"/>
          <w:highlight w:val="white"/>
        </w:rPr>
        <w:t>Peres</w:t>
      </w:r>
      <w:r w:rsidRPr="00BB6378">
        <w:rPr>
          <w:rFonts w:eastAsia="Calibri"/>
          <w:color w:val="000000" w:themeColor="text1"/>
          <w:szCs w:val="20"/>
          <w:highlight w:val="white"/>
          <w:vertAlign w:val="superscript"/>
        </w:rPr>
        <w:t>I</w:t>
      </w:r>
      <w:proofErr w:type="spellEnd"/>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78DF2588" wp14:editId="08567658">
            <wp:extent cx="86400" cy="90000"/>
            <wp:effectExtent l="0" t="0" r="8890" b="5715"/>
            <wp:docPr id="7" name="Imagem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w:t>
      </w:r>
      <w:r w:rsidRPr="00BB6378">
        <w:rPr>
          <w:rFonts w:eastAsia="Calibri"/>
          <w:color w:val="000000" w:themeColor="text1"/>
          <w:szCs w:val="20"/>
        </w:rPr>
        <w:t xml:space="preserve"> </w:t>
      </w:r>
      <w:r>
        <w:rPr>
          <w:rFonts w:eastAsia="Calibri"/>
          <w:color w:val="000000" w:themeColor="text1"/>
          <w:szCs w:val="20"/>
        </w:rPr>
        <w:br/>
      </w:r>
      <w:r w:rsidRPr="00BB6378">
        <w:rPr>
          <w:rFonts w:eastAsia="Calibri"/>
          <w:color w:val="000000" w:themeColor="text1"/>
          <w:szCs w:val="20"/>
        </w:rPr>
        <w:t xml:space="preserve">Priscila Cristina da Silva </w:t>
      </w:r>
      <w:proofErr w:type="spellStart"/>
      <w:r w:rsidRPr="00BB6378">
        <w:rPr>
          <w:rFonts w:eastAsia="Calibri"/>
          <w:color w:val="000000" w:themeColor="text1"/>
          <w:szCs w:val="20"/>
        </w:rPr>
        <w:t>Thiengo</w:t>
      </w:r>
      <w:proofErr w:type="spellEnd"/>
      <w:r w:rsidRPr="00BB6378">
        <w:rPr>
          <w:rFonts w:eastAsia="Calibri"/>
          <w:color w:val="000000" w:themeColor="text1"/>
          <w:szCs w:val="20"/>
        </w:rPr>
        <w:t xml:space="preserve"> de </w:t>
      </w:r>
      <w:proofErr w:type="spellStart"/>
      <w:r w:rsidRPr="00BB6378">
        <w:rPr>
          <w:rFonts w:eastAsia="Calibri"/>
          <w:color w:val="000000" w:themeColor="text1"/>
          <w:szCs w:val="20"/>
        </w:rPr>
        <w:t>Andrade</w:t>
      </w:r>
      <w:r w:rsidRPr="00BB6378">
        <w:rPr>
          <w:rFonts w:eastAsia="Calibri"/>
          <w:color w:val="000000" w:themeColor="text1"/>
          <w:szCs w:val="20"/>
          <w:highlight w:val="white"/>
          <w:vertAlign w:val="superscript"/>
        </w:rPr>
        <w:t>I</w:t>
      </w:r>
      <w:proofErr w:type="spellEnd"/>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4EF42D6F" wp14:editId="7806D393">
            <wp:extent cx="86400" cy="90000"/>
            <wp:effectExtent l="0" t="0" r="8890" b="5715"/>
            <wp:docPr id="11" name="Imagem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rPr>
        <w:t xml:space="preserve">; </w:t>
      </w:r>
      <w:r w:rsidRPr="00BB6378">
        <w:rPr>
          <w:rFonts w:eastAsia="Calibri"/>
          <w:color w:val="000000" w:themeColor="text1"/>
          <w:szCs w:val="20"/>
          <w:highlight w:val="white"/>
        </w:rPr>
        <w:t xml:space="preserve">Érica Brandão de </w:t>
      </w:r>
      <w:proofErr w:type="spellStart"/>
      <w:r w:rsidRPr="00BB6378">
        <w:rPr>
          <w:rFonts w:eastAsia="Calibri"/>
          <w:color w:val="000000" w:themeColor="text1"/>
          <w:szCs w:val="20"/>
          <w:highlight w:val="white"/>
        </w:rPr>
        <w:t>Moraes</w:t>
      </w:r>
      <w:r w:rsidRPr="00BB6378">
        <w:rPr>
          <w:rFonts w:eastAsia="Calibri"/>
          <w:color w:val="000000" w:themeColor="text1"/>
          <w:szCs w:val="20"/>
          <w:highlight w:val="white"/>
          <w:vertAlign w:val="superscript"/>
        </w:rPr>
        <w:t>II</w:t>
      </w:r>
      <w:proofErr w:type="spellEnd"/>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35A55CD7" wp14:editId="5C89E3E5">
            <wp:extent cx="86400" cy="90000"/>
            <wp:effectExtent l="0" t="0" r="8890" b="5715"/>
            <wp:docPr id="6" name="Imagem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 xml:space="preserve">; Tatiane da Silva </w:t>
      </w:r>
      <w:proofErr w:type="spellStart"/>
      <w:r w:rsidRPr="00BB6378">
        <w:rPr>
          <w:rFonts w:eastAsia="Calibri"/>
          <w:color w:val="000000" w:themeColor="text1"/>
          <w:szCs w:val="20"/>
          <w:highlight w:val="white"/>
        </w:rPr>
        <w:t>Campos</w:t>
      </w:r>
      <w:r w:rsidRPr="00BB6378">
        <w:rPr>
          <w:rFonts w:eastAsia="Calibri"/>
          <w:color w:val="000000" w:themeColor="text1"/>
          <w:szCs w:val="20"/>
          <w:highlight w:val="white"/>
          <w:vertAlign w:val="superscript"/>
        </w:rPr>
        <w:t>I</w:t>
      </w:r>
      <w:proofErr w:type="spellEnd"/>
      <w:r w:rsidR="007414BE" w:rsidRPr="00013AA5">
        <w:rPr>
          <w:sz w:val="16"/>
          <w:szCs w:val="20"/>
          <w:shd w:val="clear" w:color="auto" w:fill="FFFFFF"/>
          <w:vertAlign w:val="superscript"/>
        </w:rPr>
        <w:t xml:space="preserve"> </w:t>
      </w:r>
      <w:r w:rsidR="008502CE" w:rsidRPr="00B23B91">
        <w:rPr>
          <w:noProof/>
          <w:spacing w:val="-3"/>
          <w:sz w:val="16"/>
          <w:szCs w:val="20"/>
          <w:lang w:eastAsia="pt-BR"/>
        </w:rPr>
        <w:drawing>
          <wp:inline distT="0" distB="0" distL="0" distR="0" wp14:anchorId="4AEFC535" wp14:editId="30F8B211">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1EFC6113" w:rsidR="00570EC9" w:rsidRPr="00AD3A08" w:rsidRDefault="00AD3A08" w:rsidP="00F3259B">
      <w:pPr>
        <w:pStyle w:val="Eautor"/>
        <w:rPr>
          <w:sz w:val="17"/>
          <w:szCs w:val="17"/>
        </w:rPr>
      </w:pPr>
      <w:proofErr w:type="spellStart"/>
      <w:r w:rsidRPr="00AD3A08">
        <w:rPr>
          <w:rFonts w:eastAsia="Calibri"/>
          <w:color w:val="000000" w:themeColor="text1"/>
          <w:sz w:val="17"/>
          <w:szCs w:val="17"/>
          <w:highlight w:val="white"/>
          <w:vertAlign w:val="superscript"/>
        </w:rPr>
        <w:t>I</w:t>
      </w:r>
      <w:r w:rsidRPr="00AD3A08">
        <w:rPr>
          <w:rFonts w:eastAsia="Calibri"/>
          <w:color w:val="000000" w:themeColor="text1"/>
          <w:sz w:val="17"/>
          <w:szCs w:val="17"/>
          <w:highlight w:val="white"/>
        </w:rPr>
        <w:t>Universidade</w:t>
      </w:r>
      <w:proofErr w:type="spellEnd"/>
      <w:r w:rsidRPr="00AD3A08">
        <w:rPr>
          <w:rFonts w:eastAsia="Calibri"/>
          <w:color w:val="000000" w:themeColor="text1"/>
          <w:sz w:val="17"/>
          <w:szCs w:val="17"/>
          <w:highlight w:val="white"/>
        </w:rPr>
        <w:t xml:space="preserve"> do Estado do Rio de Janeiro. Rio de Janeiro, </w:t>
      </w:r>
      <w:proofErr w:type="spellStart"/>
      <w:r w:rsidRPr="00AD3A08">
        <w:rPr>
          <w:rFonts w:eastAsia="Calibri"/>
          <w:color w:val="000000" w:themeColor="text1"/>
          <w:sz w:val="17"/>
          <w:szCs w:val="17"/>
          <w:highlight w:val="white"/>
        </w:rPr>
        <w:t>Bra</w:t>
      </w:r>
      <w:r w:rsidR="00C613D6">
        <w:rPr>
          <w:rFonts w:eastAsia="Calibri"/>
          <w:color w:val="000000" w:themeColor="text1"/>
          <w:sz w:val="17"/>
          <w:szCs w:val="17"/>
          <w:highlight w:val="white"/>
        </w:rPr>
        <w:t>z</w:t>
      </w:r>
      <w:r w:rsidRPr="00AD3A08">
        <w:rPr>
          <w:rFonts w:eastAsia="Calibri"/>
          <w:color w:val="000000" w:themeColor="text1"/>
          <w:sz w:val="17"/>
          <w:szCs w:val="17"/>
          <w:highlight w:val="white"/>
        </w:rPr>
        <w:t>il</w:t>
      </w:r>
      <w:proofErr w:type="spellEnd"/>
      <w:r w:rsidRPr="00AD3A08">
        <w:rPr>
          <w:rFonts w:eastAsia="Calibri"/>
          <w:color w:val="000000" w:themeColor="text1"/>
          <w:sz w:val="17"/>
          <w:szCs w:val="17"/>
        </w:rPr>
        <w:t xml:space="preserve">. </w:t>
      </w:r>
      <w:proofErr w:type="spellStart"/>
      <w:r w:rsidRPr="00AD3A08">
        <w:rPr>
          <w:rFonts w:eastAsia="Calibri"/>
          <w:color w:val="000000" w:themeColor="text1"/>
          <w:sz w:val="17"/>
          <w:szCs w:val="17"/>
          <w:vertAlign w:val="superscript"/>
        </w:rPr>
        <w:t>II</w:t>
      </w:r>
      <w:r w:rsidRPr="00AD3A08">
        <w:rPr>
          <w:rFonts w:eastAsia="Calibri"/>
          <w:color w:val="000000" w:themeColor="text1"/>
          <w:sz w:val="17"/>
          <w:szCs w:val="17"/>
        </w:rPr>
        <w:t>Universidade</w:t>
      </w:r>
      <w:proofErr w:type="spellEnd"/>
      <w:r w:rsidRPr="00AD3A08">
        <w:rPr>
          <w:rFonts w:eastAsia="Calibri"/>
          <w:color w:val="000000" w:themeColor="text1"/>
          <w:sz w:val="17"/>
          <w:szCs w:val="17"/>
        </w:rPr>
        <w:t xml:space="preserve"> Federal Fluminense, Niterói, </w:t>
      </w:r>
      <w:proofErr w:type="spellStart"/>
      <w:r w:rsidRPr="00AD3A08">
        <w:rPr>
          <w:rFonts w:eastAsia="Calibri"/>
          <w:color w:val="000000" w:themeColor="text1"/>
          <w:sz w:val="17"/>
          <w:szCs w:val="17"/>
        </w:rPr>
        <w:t>Bra</w:t>
      </w:r>
      <w:r w:rsidR="00C613D6">
        <w:rPr>
          <w:rFonts w:eastAsia="Calibri"/>
          <w:color w:val="000000" w:themeColor="text1"/>
          <w:sz w:val="17"/>
          <w:szCs w:val="17"/>
        </w:rPr>
        <w:t>z</w:t>
      </w:r>
      <w:r w:rsidRPr="00AD3A08">
        <w:rPr>
          <w:rFonts w:eastAsia="Calibri"/>
          <w:color w:val="000000" w:themeColor="text1"/>
          <w:sz w:val="17"/>
          <w:szCs w:val="17"/>
        </w:rPr>
        <w:t>il</w:t>
      </w:r>
      <w:proofErr w:type="spellEnd"/>
      <w:r w:rsidR="00A631CB">
        <w:rPr>
          <w:rFonts w:eastAsia="Calibri"/>
          <w:color w:val="000000" w:themeColor="text1"/>
          <w:sz w:val="17"/>
          <w:szCs w:val="17"/>
        </w:rPr>
        <w:t>.</w:t>
      </w:r>
    </w:p>
    <w:p w14:paraId="2761EF82" w14:textId="77777777" w:rsidR="00A54224" w:rsidRPr="00341CDB"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7"/>
        </w:rPr>
      </w:pPr>
    </w:p>
    <w:p w14:paraId="02E10D21" w14:textId="77777777" w:rsidR="00C613D6" w:rsidRPr="00C27DFA" w:rsidRDefault="00C613D6" w:rsidP="00C613D6">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C27DFA">
        <w:rPr>
          <w:rFonts w:ascii="Calibri" w:hAnsi="Calibri"/>
          <w:b/>
          <w:sz w:val="17"/>
          <w:szCs w:val="17"/>
        </w:rPr>
        <w:t>ABSTRACT</w:t>
      </w:r>
    </w:p>
    <w:p w14:paraId="0EC164E9" w14:textId="4587DD53" w:rsidR="00C613D6" w:rsidRPr="00942B9A" w:rsidRDefault="00C613D6" w:rsidP="00C613D6">
      <w:pPr>
        <w:pStyle w:val="Estresumo"/>
        <w:rPr>
          <w:rFonts w:asciiTheme="minorHAnsi" w:hAnsiTheme="minorHAnsi" w:cstheme="minorHAnsi"/>
          <w:lang w:val="en-US"/>
        </w:rPr>
      </w:pPr>
      <w:r w:rsidRPr="00942B9A">
        <w:rPr>
          <w:b/>
          <w:lang w:val="en-US"/>
        </w:rPr>
        <w:t xml:space="preserve">Objective: </w:t>
      </w:r>
      <w:r w:rsidRPr="00942B9A">
        <w:rPr>
          <w:rFonts w:cs="Calibri"/>
          <w:lang w:val="en-US"/>
        </w:rPr>
        <w:t xml:space="preserve">to map studies that address non-transfusion of blood and blood components to Jehovah's Witness patients. </w:t>
      </w:r>
      <w:r w:rsidRPr="00942B9A">
        <w:rPr>
          <w:rFonts w:cs="Calibri"/>
          <w:b/>
          <w:lang w:val="en-US"/>
        </w:rPr>
        <w:t>Method:</w:t>
      </w:r>
      <w:r w:rsidRPr="00942B9A">
        <w:rPr>
          <w:rFonts w:cs="Calibri"/>
          <w:lang w:val="en-US"/>
        </w:rPr>
        <w:t xml:space="preserve"> this scoping review used the method proposed by the Joanna Briggs Institute. Twelve Brazilian and international databases were searched in October 2020. No time frame was used. </w:t>
      </w:r>
      <w:r w:rsidRPr="00942B9A">
        <w:rPr>
          <w:rFonts w:cs="Calibri"/>
          <w:b/>
          <w:lang w:val="en-US"/>
        </w:rPr>
        <w:t>Results:</w:t>
      </w:r>
      <w:r w:rsidRPr="00942B9A">
        <w:rPr>
          <w:rFonts w:cs="Calibri"/>
          <w:lang w:val="en-US"/>
        </w:rPr>
        <w:t xml:space="preserve"> </w:t>
      </w:r>
      <w:r w:rsidR="00A631CB">
        <w:rPr>
          <w:rFonts w:cs="Calibri"/>
          <w:lang w:val="en-US"/>
        </w:rPr>
        <w:t>o</w:t>
      </w:r>
      <w:r w:rsidRPr="00942B9A">
        <w:rPr>
          <w:rFonts w:cs="Calibri"/>
          <w:lang w:val="en-US"/>
        </w:rPr>
        <w:t xml:space="preserve">f the 1435 articles found in the databases searched, 21 were included in this study. Their contents were summarized into three categories: 1) strategies alternative to the use of blood components; 2) legal approaches to refusal by Jehovah's Witness patients; and 3) bioethical approaches to refusal by Jehovah's Witness patients. </w:t>
      </w:r>
      <w:r w:rsidRPr="00942B9A">
        <w:rPr>
          <w:rFonts w:cs="Calibri"/>
          <w:b/>
          <w:lang w:val="en-US"/>
        </w:rPr>
        <w:t>Conclusion:</w:t>
      </w:r>
      <w:r w:rsidRPr="00942B9A">
        <w:rPr>
          <w:rFonts w:cs="Calibri"/>
          <w:lang w:val="en-US"/>
        </w:rPr>
        <w:t xml:space="preserve"> this scoping review mapped the literature and identified the concerns and strategies used in care for Jehovah's Witness patients who refuse transfusions of blood and blood products for religious reasons. Understanding these alternatives will be fundamental to guaranteeing safe care and preserving patient autonomy.</w:t>
      </w:r>
    </w:p>
    <w:p w14:paraId="2C4901C9" w14:textId="77777777" w:rsidR="00C613D6" w:rsidRPr="00942B9A" w:rsidRDefault="00C613D6" w:rsidP="00C613D6">
      <w:pPr>
        <w:pStyle w:val="Estresumo"/>
        <w:rPr>
          <w:lang w:val="en-US"/>
        </w:rPr>
      </w:pPr>
      <w:r w:rsidRPr="00942B9A">
        <w:rPr>
          <w:b/>
          <w:spacing w:val="-2"/>
          <w:lang w:val="en-US"/>
        </w:rPr>
        <w:t>Descriptors</w:t>
      </w:r>
      <w:r w:rsidRPr="00942B9A">
        <w:rPr>
          <w:b/>
          <w:lang w:val="en-US"/>
        </w:rPr>
        <w:t xml:space="preserve">: </w:t>
      </w:r>
      <w:r w:rsidRPr="00942B9A">
        <w:rPr>
          <w:rFonts w:eastAsia="Calibri" w:cs="Calibri"/>
          <w:lang w:val="en-US"/>
        </w:rPr>
        <w:t>Delivery of Health Care; Bioethics; Blood Transfusion; Religion; Patient Rights</w:t>
      </w:r>
      <w:r w:rsidRPr="00942B9A">
        <w:rPr>
          <w:rFonts w:asciiTheme="minorHAnsi" w:hAnsiTheme="minorHAnsi" w:cstheme="minorHAnsi"/>
          <w:lang w:val="en-US"/>
        </w:rPr>
        <w:t>.</w:t>
      </w:r>
    </w:p>
    <w:p w14:paraId="07D63CE9" w14:textId="77777777" w:rsidR="00C613D6" w:rsidRPr="00942B9A" w:rsidRDefault="00C613D6" w:rsidP="00C613D6">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p>
    <w:p w14:paraId="732E1122" w14:textId="77777777" w:rsidR="00B9178A" w:rsidRPr="00341CDB"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341CDB">
        <w:rPr>
          <w:rFonts w:ascii="Calibri" w:hAnsi="Calibri"/>
          <w:b/>
          <w:bCs/>
          <w:sz w:val="17"/>
          <w:szCs w:val="17"/>
        </w:rPr>
        <w:t>RESUMO</w:t>
      </w:r>
    </w:p>
    <w:p w14:paraId="49544D6C" w14:textId="0C48599D" w:rsidR="00B9178A" w:rsidRPr="00341CDB" w:rsidRDefault="00B9178A" w:rsidP="00B9178A">
      <w:pPr>
        <w:pStyle w:val="Estresumo"/>
        <w:rPr>
          <w:rFonts w:asciiTheme="minorHAnsi" w:hAnsiTheme="minorHAnsi" w:cstheme="minorHAnsi"/>
          <w:spacing w:val="-2"/>
        </w:rPr>
      </w:pPr>
      <w:r w:rsidRPr="00341CDB">
        <w:rPr>
          <w:b/>
          <w:spacing w:val="-2"/>
        </w:rPr>
        <w:t>Objetivo:</w:t>
      </w:r>
      <w:r w:rsidR="007414BE">
        <w:rPr>
          <w:b/>
          <w:spacing w:val="-2"/>
        </w:rPr>
        <w:t xml:space="preserve"> </w:t>
      </w:r>
      <w:r w:rsidR="00AD3A08" w:rsidRPr="00BB6378">
        <w:rPr>
          <w:rFonts w:eastAsia="Calibri" w:cs="Calibri"/>
          <w:color w:val="000000" w:themeColor="text1"/>
        </w:rPr>
        <w:t xml:space="preserve">mapear os estudos que abordam a não transfusão de sangue e hemocomponentes ao paciente Testemunha de Jeová. </w:t>
      </w:r>
      <w:r w:rsidR="00AD3A08" w:rsidRPr="00BB6378">
        <w:rPr>
          <w:rFonts w:eastAsia="Calibri" w:cs="Calibri"/>
          <w:b/>
          <w:color w:val="000000" w:themeColor="text1"/>
        </w:rPr>
        <w:t>Método:</w:t>
      </w:r>
      <w:r w:rsidR="00AD3A08" w:rsidRPr="00BB6378">
        <w:rPr>
          <w:rFonts w:eastAsia="Calibri" w:cs="Calibri"/>
          <w:color w:val="000000" w:themeColor="text1"/>
        </w:rPr>
        <w:t xml:space="preserve"> revisão de escopo, seguindo o método proposto pelo Instituto Joanna Briggs. Foram realizadas buscas em doze bases de dados nacionais e internacionais, em outubro de 2020. Não foi utilizado recorte temporal. </w:t>
      </w:r>
      <w:r w:rsidR="00AD3A08" w:rsidRPr="00BB6378">
        <w:rPr>
          <w:rFonts w:eastAsia="Calibri" w:cs="Calibri"/>
          <w:b/>
          <w:color w:val="000000" w:themeColor="text1"/>
        </w:rPr>
        <w:t>Resultados:</w:t>
      </w:r>
      <w:r w:rsidR="00AD3A08" w:rsidRPr="00BB6378">
        <w:rPr>
          <w:rFonts w:eastAsia="Calibri" w:cs="Calibri"/>
          <w:color w:val="000000" w:themeColor="text1"/>
        </w:rPr>
        <w:t xml:space="preserve"> dos 1435 artigos encontrados nas bases de dados pesquisadas, 21 foram incluídos neste estudo, seus conteúdos foram sintetizados em três categorias: 1) Estratégias alternativas ao uso de hemocomponentes; 2) Abordagem jurídica na recusa do paciente Testemunha de Jeová; 3) Abordagem bioética na recusa do paciente Testemunha de Jeová. </w:t>
      </w:r>
      <w:r w:rsidR="00AD3A08" w:rsidRPr="00BB6378">
        <w:rPr>
          <w:rFonts w:eastAsia="Calibri" w:cs="Calibri"/>
          <w:b/>
          <w:color w:val="000000" w:themeColor="text1"/>
        </w:rPr>
        <w:t>Conclusão:</w:t>
      </w:r>
      <w:r w:rsidR="00AD3A08" w:rsidRPr="00BB6378">
        <w:rPr>
          <w:rFonts w:eastAsia="Calibri" w:cs="Calibri"/>
          <w:color w:val="000000" w:themeColor="text1"/>
        </w:rPr>
        <w:t xml:space="preserve"> a presente revisão de escopo permitiu mapear a literatura e conhecer as inquietações e as estratégias usadas na assistência ao paciente TJ que por questões religiosas recusa transfusão de sangue e hemocomponentes. A compreensão dessas alternativas será fundamental para a garantia de uma assistência segura e na preservação da autonomia do indivíduo</w:t>
      </w:r>
      <w:r w:rsidRPr="00341CDB">
        <w:rPr>
          <w:spacing w:val="-2"/>
        </w:rPr>
        <w:t>.</w:t>
      </w:r>
    </w:p>
    <w:p w14:paraId="422AFCAE" w14:textId="75F5A793" w:rsidR="00B9178A" w:rsidRPr="00341CDB" w:rsidRDefault="00B9178A" w:rsidP="00B9178A">
      <w:pPr>
        <w:pStyle w:val="Estresumo"/>
        <w:rPr>
          <w:rFonts w:cstheme="minorHAnsi"/>
          <w:spacing w:val="-4"/>
        </w:rPr>
      </w:pPr>
      <w:r w:rsidRPr="00341CDB">
        <w:rPr>
          <w:b/>
          <w:bCs/>
          <w:spacing w:val="-4"/>
        </w:rPr>
        <w:t>Descritores:</w:t>
      </w:r>
      <w:r w:rsidR="007414BE">
        <w:rPr>
          <w:b/>
          <w:bCs/>
          <w:spacing w:val="-4"/>
        </w:rPr>
        <w:t xml:space="preserve"> </w:t>
      </w:r>
      <w:r w:rsidR="00AD3A08" w:rsidRPr="00BB6378">
        <w:rPr>
          <w:rFonts w:eastAsia="Calibri" w:cs="Calibri"/>
          <w:color w:val="000000" w:themeColor="text1"/>
        </w:rPr>
        <w:t>Atenção à Saúde; Bioética; Transfusão de Sangue; Religião; Direitos do Paciente</w:t>
      </w:r>
      <w:r w:rsidRPr="00341CDB">
        <w:rPr>
          <w:rFonts w:cstheme="minorHAnsi"/>
          <w:spacing w:val="-4"/>
        </w:rPr>
        <w:t>.</w:t>
      </w:r>
    </w:p>
    <w:p w14:paraId="062C6DE4" w14:textId="77777777" w:rsidR="00B9178A" w:rsidRPr="00341CDB"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sz w:val="17"/>
          <w:szCs w:val="17"/>
        </w:rPr>
      </w:pPr>
    </w:p>
    <w:p w14:paraId="2DBEA0FB" w14:textId="77777777" w:rsidR="00A54224" w:rsidRPr="00942B9A"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942B9A">
        <w:rPr>
          <w:rFonts w:ascii="Calibri" w:hAnsi="Calibri"/>
          <w:b/>
          <w:sz w:val="17"/>
          <w:szCs w:val="17"/>
          <w:lang w:val="es-ES"/>
        </w:rPr>
        <w:t>RESUMEN</w:t>
      </w:r>
    </w:p>
    <w:p w14:paraId="05329381" w14:textId="388ED4EC" w:rsidR="00290007" w:rsidRPr="00942B9A" w:rsidRDefault="00814848" w:rsidP="00290007">
      <w:pPr>
        <w:pStyle w:val="Estresumo"/>
        <w:rPr>
          <w:rFonts w:asciiTheme="minorHAnsi" w:hAnsiTheme="minorHAnsi" w:cstheme="minorHAnsi"/>
          <w:lang w:val="es-ES"/>
        </w:rPr>
      </w:pPr>
      <w:r w:rsidRPr="00942B9A">
        <w:rPr>
          <w:b/>
          <w:lang w:val="es-ES"/>
        </w:rPr>
        <w:t>Objetivo</w:t>
      </w:r>
      <w:r w:rsidRPr="00942B9A">
        <w:rPr>
          <w:lang w:val="es-ES"/>
        </w:rPr>
        <w:t>:</w:t>
      </w:r>
      <w:r w:rsidR="007414BE" w:rsidRPr="00942B9A">
        <w:rPr>
          <w:lang w:val="es-ES"/>
        </w:rPr>
        <w:t xml:space="preserve"> </w:t>
      </w:r>
      <w:r w:rsidR="00D167E6" w:rsidRPr="00942B9A">
        <w:rPr>
          <w:rFonts w:cs="Calibri"/>
          <w:lang w:val="es-ES"/>
        </w:rPr>
        <w:t xml:space="preserve">mapear los estudios que abordan la no transfusión de sangre y </w:t>
      </w:r>
      <w:proofErr w:type="spellStart"/>
      <w:r w:rsidR="00D167E6" w:rsidRPr="00942B9A">
        <w:rPr>
          <w:rFonts w:cs="Calibri"/>
          <w:lang w:val="es-ES"/>
        </w:rPr>
        <w:t>hemocomponentes</w:t>
      </w:r>
      <w:proofErr w:type="spellEnd"/>
      <w:r w:rsidR="00D167E6" w:rsidRPr="00942B9A">
        <w:rPr>
          <w:rFonts w:cs="Calibri"/>
          <w:lang w:val="es-ES"/>
        </w:rPr>
        <w:t xml:space="preserve"> a pacientes Testigos de Jehová. </w:t>
      </w:r>
      <w:r w:rsidR="00D167E6" w:rsidRPr="00942B9A">
        <w:rPr>
          <w:rFonts w:cs="Calibri"/>
          <w:b/>
          <w:lang w:val="es-ES"/>
        </w:rPr>
        <w:t>Método</w:t>
      </w:r>
      <w:r w:rsidR="00D167E6" w:rsidRPr="00942B9A">
        <w:rPr>
          <w:rFonts w:cs="Calibri"/>
          <w:lang w:val="es-ES"/>
        </w:rPr>
        <w:t xml:space="preserve">: revisión del alcance, siguiendo el método propuesto por el Instituto Joanna Briggs. Se realizaron búsquedas en doce bases de datos nacionales e internacionales, en octubre de 2020. No se estipuló un recorte temporal. </w:t>
      </w:r>
      <w:r w:rsidR="00D167E6" w:rsidRPr="00942B9A">
        <w:rPr>
          <w:rFonts w:cs="Calibri"/>
          <w:b/>
          <w:lang w:val="es-ES"/>
        </w:rPr>
        <w:t>Resultados:</w:t>
      </w:r>
      <w:r w:rsidR="00D167E6" w:rsidRPr="00942B9A">
        <w:rPr>
          <w:rFonts w:cs="Calibri"/>
          <w:lang w:val="es-ES"/>
        </w:rPr>
        <w:t xml:space="preserve"> de los 1435 artículos encontrados en las bases de datos investigadas, 21 fueron incluidos en este estudio, sus contenidos se resumieron en tres categorías: 1) Estrategias alternativas al uso de </w:t>
      </w:r>
      <w:proofErr w:type="spellStart"/>
      <w:r w:rsidR="00D167E6" w:rsidRPr="00942B9A">
        <w:rPr>
          <w:rFonts w:cs="Calibri"/>
          <w:lang w:val="es-ES"/>
        </w:rPr>
        <w:t>hemocomponentes</w:t>
      </w:r>
      <w:proofErr w:type="spellEnd"/>
      <w:r w:rsidR="00D167E6" w:rsidRPr="00942B9A">
        <w:rPr>
          <w:rFonts w:cs="Calibri"/>
          <w:lang w:val="es-ES"/>
        </w:rPr>
        <w:t xml:space="preserve">; 2) Enfoque legal en cuanto al rechazo del paciente testigo de Jehová; 3) Enfoque bioético del rechazo de un paciente testigo de Jehová. </w:t>
      </w:r>
      <w:r w:rsidR="00D167E6" w:rsidRPr="00942B9A">
        <w:rPr>
          <w:rFonts w:cs="Calibri"/>
          <w:b/>
          <w:lang w:val="es-ES"/>
        </w:rPr>
        <w:t>Conclusión:</w:t>
      </w:r>
      <w:r w:rsidR="00D167E6" w:rsidRPr="00942B9A">
        <w:rPr>
          <w:rFonts w:cs="Calibri"/>
          <w:lang w:val="es-ES"/>
        </w:rPr>
        <w:t xml:space="preserve"> esta revisión de alcance permitió mapear la literatura y conocer las preocupaciones y estrategias utilizadas en la atención de los pacientes Testigos de Jehová que, por motivos religiosos, rechazan transfusiones de sangre y </w:t>
      </w:r>
      <w:proofErr w:type="spellStart"/>
      <w:r w:rsidR="00D167E6" w:rsidRPr="00942B9A">
        <w:rPr>
          <w:rFonts w:cs="Calibri"/>
          <w:lang w:val="es-ES"/>
        </w:rPr>
        <w:t>hemocomponentes</w:t>
      </w:r>
      <w:proofErr w:type="spellEnd"/>
      <w:r w:rsidR="00D167E6" w:rsidRPr="00942B9A">
        <w:rPr>
          <w:rFonts w:cs="Calibri"/>
          <w:lang w:val="es-ES"/>
        </w:rPr>
        <w:t>. Comprender estas alternativas será fundamental para garantizar una atención segura y preservar la autonomía del individuo</w:t>
      </w:r>
      <w:r w:rsidR="007675FF" w:rsidRPr="00942B9A">
        <w:rPr>
          <w:rFonts w:asciiTheme="minorHAnsi" w:hAnsiTheme="minorHAnsi" w:cstheme="minorHAnsi"/>
          <w:lang w:val="es-ES"/>
        </w:rPr>
        <w:t>.</w:t>
      </w:r>
    </w:p>
    <w:p w14:paraId="005178EF" w14:textId="3F6A2AF3" w:rsidR="00290007" w:rsidRPr="00942B9A" w:rsidRDefault="00290007" w:rsidP="00290007">
      <w:pPr>
        <w:pStyle w:val="Estresumo"/>
        <w:rPr>
          <w:rFonts w:asciiTheme="minorHAnsi" w:hAnsiTheme="minorHAnsi" w:cstheme="minorHAnsi"/>
          <w:lang w:val="es-ES"/>
        </w:rPr>
      </w:pPr>
      <w:r w:rsidRPr="00942B9A">
        <w:rPr>
          <w:b/>
          <w:spacing w:val="-2"/>
          <w:lang w:val="es-ES"/>
        </w:rPr>
        <w:t>Descriptores:</w:t>
      </w:r>
      <w:r w:rsidR="007414BE" w:rsidRPr="00942B9A">
        <w:rPr>
          <w:b/>
          <w:spacing w:val="-2"/>
          <w:lang w:val="es-ES"/>
        </w:rPr>
        <w:t xml:space="preserve"> </w:t>
      </w:r>
      <w:r w:rsidR="00370919" w:rsidRPr="00942B9A">
        <w:rPr>
          <w:rFonts w:eastAsia="Calibri" w:cs="Calibri"/>
          <w:lang w:val="es-ES"/>
        </w:rPr>
        <w:t>Atención a la Salud; Bioética; Transfusión Sanguínea; Religión; Derechos del Paciente</w:t>
      </w:r>
      <w:r w:rsidRPr="00942B9A">
        <w:rPr>
          <w:rFonts w:asciiTheme="minorHAnsi" w:hAnsiTheme="minorHAnsi" w:cstheme="minorHAnsi"/>
          <w:lang w:val="es-ES"/>
        </w:rPr>
        <w:t>.</w:t>
      </w:r>
    </w:p>
    <w:p w14:paraId="50991DB9" w14:textId="77777777" w:rsidR="00A54224" w:rsidRPr="005A0AB3"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5A0AB3" w:rsidRDefault="000C4776" w:rsidP="000C4776">
      <w:pPr>
        <w:tabs>
          <w:tab w:val="left" w:pos="3919"/>
        </w:tabs>
        <w:spacing w:after="0" w:line="240" w:lineRule="auto"/>
        <w:rPr>
          <w:rFonts w:asciiTheme="minorHAnsi" w:hAnsiTheme="minorHAnsi" w:cstheme="minorHAnsi"/>
          <w:sz w:val="8"/>
          <w:lang w:val="es-ES"/>
        </w:rPr>
      </w:pPr>
      <w:r w:rsidRPr="005A0AB3">
        <w:rPr>
          <w:rFonts w:asciiTheme="minorHAnsi" w:hAnsiTheme="minorHAnsi" w:cstheme="minorHAnsi"/>
          <w:sz w:val="8"/>
          <w:lang w:val="es-ES"/>
        </w:rPr>
        <w:tab/>
      </w:r>
    </w:p>
    <w:p w14:paraId="759D88A3" w14:textId="60828DB5" w:rsidR="00C250D2" w:rsidRPr="00F85DA1" w:rsidRDefault="00C250D2" w:rsidP="00B13928">
      <w:pPr>
        <w:pStyle w:val="Etitsecao"/>
        <w:rPr>
          <w:lang w:val="en-US"/>
        </w:rPr>
      </w:pPr>
      <w:r w:rsidRPr="00F85DA1">
        <w:rPr>
          <w:lang w:val="en-US"/>
        </w:rPr>
        <w:t>Introd</w:t>
      </w:r>
      <w:r w:rsidR="00C613D6" w:rsidRPr="00F85DA1">
        <w:rPr>
          <w:lang w:val="en-US"/>
        </w:rPr>
        <w:t>uction</w:t>
      </w:r>
    </w:p>
    <w:p w14:paraId="123C550B" w14:textId="77777777" w:rsidR="00F85DA1" w:rsidRPr="001D4902" w:rsidRDefault="00F85DA1" w:rsidP="00F85DA1">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Blood transfusions and blood components are extremely important technologies in modern therapy and they save lives when used properly in health problem situations. But, like any therapeutic interventions, they are not free from acute or late complications, the risk of transmitting infectious diseases and other clinical complications</w:t>
      </w:r>
      <w:r w:rsidRPr="001D4902">
        <w:rPr>
          <w:rFonts w:ascii="Calibri" w:eastAsia="Calibri" w:hAnsi="Calibri" w:cs="Calibri"/>
          <w:color w:val="000000" w:themeColor="text1"/>
          <w:sz w:val="20"/>
          <w:szCs w:val="20"/>
          <w:vertAlign w:val="superscript"/>
        </w:rPr>
        <w:t>1</w:t>
      </w:r>
      <w:r w:rsidRPr="001D4902">
        <w:rPr>
          <w:rFonts w:ascii="Calibri" w:eastAsia="Calibri" w:hAnsi="Calibri" w:cs="Calibri"/>
          <w:color w:val="000000" w:themeColor="text1"/>
          <w:sz w:val="20"/>
          <w:szCs w:val="20"/>
        </w:rPr>
        <w:t>.</w:t>
      </w:r>
    </w:p>
    <w:p w14:paraId="0D664991" w14:textId="2F9738F9" w:rsidR="00B44C32" w:rsidRPr="00F85DA1" w:rsidRDefault="00F85DA1" w:rsidP="00F85DA1">
      <w:pPr>
        <w:spacing w:after="120" w:line="240" w:lineRule="auto"/>
        <w:ind w:firstLine="454"/>
        <w:jc w:val="both"/>
        <w:rPr>
          <w:rFonts w:ascii="Calibri" w:hAnsi="Calibri" w:cs="Calibri"/>
          <w:spacing w:val="3"/>
          <w:sz w:val="20"/>
          <w:szCs w:val="20"/>
        </w:rPr>
      </w:pPr>
      <w:r w:rsidRPr="001D4902">
        <w:rPr>
          <w:rFonts w:ascii="Calibri" w:eastAsia="Calibri" w:hAnsi="Calibri" w:cs="Calibri"/>
          <w:color w:val="000000" w:themeColor="text1"/>
          <w:sz w:val="20"/>
          <w:szCs w:val="20"/>
        </w:rPr>
        <w:t>Although blood transfusion is a common therapy in a hospital routine, it brings with it an ethical dilemma that is difficult to resolve. This occurs when the patient refuses to accept a blood transfusion for religious reasons even in imminent risk of death, as is the case for Jehovah’s Witness patients²</w:t>
      </w:r>
      <w:r w:rsidR="00B44C32" w:rsidRPr="00F85DA1">
        <w:rPr>
          <w:rFonts w:ascii="Calibri" w:hAnsi="Calibri" w:cs="Calibri"/>
          <w:spacing w:val="3"/>
          <w:sz w:val="20"/>
          <w:szCs w:val="20"/>
        </w:rPr>
        <w:t>.</w:t>
      </w:r>
    </w:p>
    <w:p w14:paraId="2296CBA8" w14:textId="77777777" w:rsidR="00255039" w:rsidRPr="00B16FEB" w:rsidRDefault="00255039" w:rsidP="005C1F3A">
      <w:pPr>
        <w:pStyle w:val="SemEspaamento"/>
        <w:spacing w:after="60"/>
        <w:jc w:val="both"/>
        <w:rPr>
          <w:rFonts w:cs="Calibri"/>
          <w:color w:val="000000" w:themeColor="text1"/>
          <w:sz w:val="20"/>
          <w:szCs w:val="20"/>
        </w:rPr>
      </w:pPr>
      <w:r w:rsidRPr="00AD7C78">
        <w:t>____________________</w:t>
      </w:r>
      <w:r w:rsidR="001F2A52" w:rsidRPr="00AD7C78">
        <w:tab/>
      </w:r>
    </w:p>
    <w:p w14:paraId="415FA44D" w14:textId="58EFFF63" w:rsidR="00824C14" w:rsidRPr="008B3FCD" w:rsidRDefault="007A36D4" w:rsidP="00824C14">
      <w:pPr>
        <w:spacing w:after="0" w:line="240" w:lineRule="auto"/>
        <w:rPr>
          <w:rFonts w:ascii="Calibri" w:eastAsia="Calibri" w:hAnsi="Calibri" w:cs="Calibri"/>
          <w:sz w:val="14"/>
          <w:szCs w:val="14"/>
        </w:rPr>
      </w:pPr>
      <w:proofErr w:type="spellStart"/>
      <w:r>
        <w:rPr>
          <w:rFonts w:ascii="Calibri" w:eastAsia="Calibri" w:hAnsi="Calibri" w:cs="Calibri"/>
          <w:sz w:val="14"/>
          <w:szCs w:val="14"/>
          <w:highlight w:val="white"/>
          <w:lang w:val="pt-BR"/>
        </w:rPr>
        <w:t>Corresponding</w:t>
      </w:r>
      <w:proofErr w:type="spellEnd"/>
      <w:r>
        <w:rPr>
          <w:rFonts w:ascii="Calibri" w:eastAsia="Calibri" w:hAnsi="Calibri" w:cs="Calibri"/>
          <w:sz w:val="14"/>
          <w:szCs w:val="14"/>
          <w:highlight w:val="white"/>
          <w:lang w:val="pt-BR"/>
        </w:rPr>
        <w:t xml:space="preserve"> </w:t>
      </w:r>
      <w:proofErr w:type="spellStart"/>
      <w:r>
        <w:rPr>
          <w:rFonts w:ascii="Calibri" w:eastAsia="Calibri" w:hAnsi="Calibri" w:cs="Calibri"/>
          <w:sz w:val="14"/>
          <w:szCs w:val="14"/>
          <w:highlight w:val="white"/>
          <w:lang w:val="pt-BR"/>
        </w:rPr>
        <w:t>author</w:t>
      </w:r>
      <w:proofErr w:type="spellEnd"/>
      <w:r w:rsidR="00824C14" w:rsidRPr="00824C14">
        <w:rPr>
          <w:rFonts w:ascii="Calibri" w:eastAsia="Calibri" w:hAnsi="Calibri" w:cs="Calibri"/>
          <w:sz w:val="14"/>
          <w:szCs w:val="14"/>
          <w:highlight w:val="white"/>
          <w:lang w:val="pt-BR"/>
        </w:rPr>
        <w:t>: Quitéria Pires da Silva Rodrigues</w:t>
      </w:r>
      <w:r w:rsidR="00824C14" w:rsidRPr="00824C14">
        <w:rPr>
          <w:rFonts w:ascii="Calibri" w:eastAsia="Calibri" w:hAnsi="Calibri" w:cs="Calibri"/>
          <w:sz w:val="14"/>
          <w:szCs w:val="14"/>
          <w:lang w:val="pt-BR"/>
        </w:rPr>
        <w:t xml:space="preserve">. </w:t>
      </w:r>
      <w:r w:rsidR="00824C14" w:rsidRPr="008B3FCD">
        <w:rPr>
          <w:rFonts w:ascii="Calibri" w:eastAsia="Calibri" w:hAnsi="Calibri" w:cs="Calibri"/>
          <w:sz w:val="14"/>
          <w:szCs w:val="14"/>
          <w:highlight w:val="white"/>
        </w:rPr>
        <w:t xml:space="preserve">E-mail: </w:t>
      </w:r>
      <w:hyperlink r:id="rId15" w:history="1">
        <w:r w:rsidR="00824C14" w:rsidRPr="008B3FCD">
          <w:rPr>
            <w:rStyle w:val="Hyperlink"/>
            <w:rFonts w:ascii="Calibri" w:eastAsia="Calibri" w:hAnsi="Calibri" w:cs="Calibri"/>
            <w:color w:val="auto"/>
            <w:sz w:val="14"/>
            <w:szCs w:val="14"/>
            <w:highlight w:val="white"/>
            <w:u w:val="none"/>
          </w:rPr>
          <w:t>kiteriapires@gmail.com</w:t>
        </w:r>
      </w:hyperlink>
      <w:r w:rsidR="00824C14" w:rsidRPr="008B3FCD">
        <w:rPr>
          <w:rFonts w:ascii="Calibri" w:eastAsia="Calibri" w:hAnsi="Calibri" w:cs="Calibri"/>
          <w:sz w:val="14"/>
          <w:szCs w:val="14"/>
        </w:rPr>
        <w:t xml:space="preserve"> </w:t>
      </w:r>
    </w:p>
    <w:p w14:paraId="2096E371" w14:textId="26C6E40C" w:rsidR="00AB2929" w:rsidRPr="00840612" w:rsidRDefault="00824C14" w:rsidP="00824C14">
      <w:pPr>
        <w:pStyle w:val="western"/>
        <w:spacing w:before="0" w:beforeAutospacing="0" w:after="0" w:line="240" w:lineRule="auto"/>
        <w:rPr>
          <w:rFonts w:cs="Calibri"/>
          <w:b/>
          <w:bCs/>
          <w:sz w:val="14"/>
          <w:szCs w:val="14"/>
          <w:lang w:val="en-US"/>
        </w:rPr>
      </w:pPr>
      <w:r w:rsidRPr="00840612">
        <w:rPr>
          <w:rFonts w:eastAsia="Calibri" w:cs="Calibri"/>
          <w:color w:val="000000" w:themeColor="text1"/>
          <w:sz w:val="14"/>
          <w:szCs w:val="14"/>
          <w:lang w:val="en-US"/>
        </w:rPr>
        <w:t>Editor</w:t>
      </w:r>
      <w:r w:rsidR="007A36D4" w:rsidRPr="00840612">
        <w:rPr>
          <w:rFonts w:eastAsia="Calibri" w:cs="Calibri"/>
          <w:color w:val="000000" w:themeColor="text1"/>
          <w:sz w:val="14"/>
          <w:szCs w:val="14"/>
          <w:lang w:val="en-US"/>
        </w:rPr>
        <w:t xml:space="preserve"> in chief</w:t>
      </w:r>
      <w:r w:rsidRPr="00840612">
        <w:rPr>
          <w:rFonts w:eastAsia="Calibri" w:cs="Calibri"/>
          <w:color w:val="000000" w:themeColor="text1"/>
          <w:sz w:val="14"/>
          <w:szCs w:val="14"/>
          <w:lang w:val="en-US"/>
        </w:rPr>
        <w:t xml:space="preserve">: Cristiane Helena Gallasch; </w:t>
      </w:r>
      <w:r w:rsidR="007A36D4" w:rsidRPr="00840612">
        <w:rPr>
          <w:rFonts w:eastAsia="Calibri" w:cs="Calibri"/>
          <w:color w:val="000000" w:themeColor="text1"/>
          <w:sz w:val="14"/>
          <w:szCs w:val="14"/>
          <w:lang w:val="en-US"/>
        </w:rPr>
        <w:t>Associate Editor</w:t>
      </w:r>
      <w:r w:rsidRPr="00840612">
        <w:rPr>
          <w:rFonts w:eastAsia="Calibri" w:cs="Calibri"/>
          <w:color w:val="000000" w:themeColor="text1"/>
          <w:sz w:val="14"/>
          <w:szCs w:val="14"/>
          <w:lang w:val="en-US"/>
        </w:rPr>
        <w:t>: Magda Guimarães de Araujo Faria</w:t>
      </w:r>
      <w:r w:rsidR="009D53CF" w:rsidRPr="00840612">
        <w:rPr>
          <w:rFonts w:cs="Calibri"/>
          <w:b/>
          <w:bCs/>
          <w:sz w:val="14"/>
          <w:szCs w:val="14"/>
          <w:lang w:val="en-US"/>
        </w:rPr>
        <w:t xml:space="preserve"> </w:t>
      </w:r>
    </w:p>
    <w:p w14:paraId="13109D49" w14:textId="415278BA" w:rsidR="006A28CD" w:rsidRPr="00840612" w:rsidRDefault="006A28CD" w:rsidP="006A28CD">
      <w:pPr>
        <w:tabs>
          <w:tab w:val="left" w:pos="2615"/>
        </w:tabs>
        <w:rPr>
          <w:rFonts w:ascii="Calibri" w:hAnsi="Calibri" w:cs="Calibri"/>
          <w:b/>
          <w:bCs/>
          <w:sz w:val="14"/>
          <w:szCs w:val="14"/>
          <w:lang w:eastAsia="pt-BR"/>
        </w:rPr>
      </w:pPr>
      <w:r w:rsidRPr="00840612">
        <w:rPr>
          <w:rFonts w:ascii="Calibri" w:hAnsi="Calibri" w:cs="Calibri"/>
          <w:b/>
          <w:bCs/>
          <w:sz w:val="14"/>
          <w:szCs w:val="14"/>
          <w:lang w:eastAsia="pt-BR"/>
        </w:rPr>
        <w:tab/>
      </w:r>
    </w:p>
    <w:p w14:paraId="0B388F71" w14:textId="1E9791CF" w:rsidR="006A28CD" w:rsidRPr="00840612" w:rsidRDefault="006A28CD" w:rsidP="006A28CD">
      <w:pPr>
        <w:rPr>
          <w:lang w:eastAsia="pt-BR"/>
        </w:rPr>
        <w:sectPr w:rsidR="006A28CD" w:rsidRPr="00840612"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64080905"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lastRenderedPageBreak/>
        <w:t>Jehovah’s Witness is a religious community made up of more than 8 million adherents distributed in more than 240 countries, made up of different ethnic groups with different cultures and languages. However, they have the same objective in common: to worship Jehovah and follow in the footsteps of Jesus Christ, dedicating time to the preaching work and the teaching of the Bible³.</w:t>
      </w:r>
    </w:p>
    <w:p w14:paraId="234EE6F9"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Followers consider it a violation of their dignity to undergo a whole blood transfusion, or any of its four components: red blood cells, white blood cells, platelets and plasma. So, they would be disobeying a law of God contained in his word, the bible. However, its religious understanding does not absolutely prohibit the use of components such as albumin, immunoglobulins and anti-hemophilic preparations, and it is up to each follower to individually decide whether or not to accept it.</w:t>
      </w:r>
      <w:r w:rsidRPr="001D4902">
        <w:rPr>
          <w:rFonts w:ascii="Calibri" w:eastAsia="Calibri" w:hAnsi="Calibri" w:cs="Calibri"/>
          <w:color w:val="000000" w:themeColor="text1"/>
          <w:sz w:val="20"/>
          <w:szCs w:val="20"/>
          <w:vertAlign w:val="superscript"/>
        </w:rPr>
        <w:t>4</w:t>
      </w:r>
      <w:r w:rsidRPr="001D4902">
        <w:rPr>
          <w:rFonts w:ascii="Calibri" w:eastAsia="Calibri" w:hAnsi="Calibri" w:cs="Calibri"/>
          <w:color w:val="000000" w:themeColor="text1"/>
          <w:sz w:val="20"/>
          <w:szCs w:val="20"/>
        </w:rPr>
        <w:t>.</w:t>
      </w:r>
    </w:p>
    <w:p w14:paraId="24FFB65A"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Faced with the need to perform a blood transfusion for a Jehovah’s Witness patient, the entire team involved in care is exposed to an ethical dilemma: offering the best therapy according to what the patient needs (beneficence) or respecting the user’s right not to receive a treatment (autonomy) which is considered as the best alternative by the professional. Thus, a conflict is established between the patient’s beliefs and autonomy, and the duty and responsibility of the health professional to save lives. Furthermore, to give more weight to the impasse, it is necessary to reflect on the need for spiritual care that this individual presents</w:t>
      </w:r>
      <w:r w:rsidRPr="001D4902">
        <w:rPr>
          <w:rFonts w:ascii="Calibri" w:eastAsia="Calibri" w:hAnsi="Calibri" w:cs="Calibri"/>
          <w:color w:val="000000" w:themeColor="text1"/>
          <w:sz w:val="20"/>
          <w:szCs w:val="20"/>
          <w:vertAlign w:val="superscript"/>
        </w:rPr>
        <w:t>5</w:t>
      </w:r>
      <w:r w:rsidRPr="001D4902">
        <w:rPr>
          <w:rFonts w:ascii="Calibri" w:eastAsia="Calibri" w:hAnsi="Calibri" w:cs="Calibri"/>
          <w:color w:val="000000" w:themeColor="text1"/>
          <w:sz w:val="20"/>
          <w:szCs w:val="20"/>
        </w:rPr>
        <w:t>.</w:t>
      </w:r>
    </w:p>
    <w:p w14:paraId="010350A6"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The Federal Constitution of Brazil of 1988 guarantees full freedom to Brazilian citizens in article 5. This constitutional guarantee translates into the principle of autonomy of will. By will in the clinical context, it is understood as the patient’s option to choose or refuse the proposed therapeutic treatment by clarifying the risks and benefits</w:t>
      </w:r>
      <w:r w:rsidRPr="001D4902">
        <w:rPr>
          <w:rFonts w:ascii="Calibri" w:eastAsia="Calibri" w:hAnsi="Calibri" w:cs="Calibri"/>
          <w:color w:val="000000" w:themeColor="text1"/>
          <w:sz w:val="20"/>
          <w:szCs w:val="20"/>
          <w:vertAlign w:val="superscript"/>
        </w:rPr>
        <w:t>6</w:t>
      </w:r>
      <w:r w:rsidRPr="001D4902">
        <w:rPr>
          <w:rFonts w:ascii="Calibri" w:eastAsia="Calibri" w:hAnsi="Calibri" w:cs="Calibri"/>
          <w:color w:val="000000" w:themeColor="text1"/>
          <w:sz w:val="20"/>
          <w:szCs w:val="20"/>
        </w:rPr>
        <w:t>.</w:t>
      </w:r>
    </w:p>
    <w:p w14:paraId="77399B63"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In parallel, the resolution of the Federal Council of Medicine (Resolution CFM no. 2.217/2018) determines that the doctor must adopt all necessary and known measures to preserve the life of the patient in urgent and emergency situations which characterize imminent danger of death, regardless of therapeutic refusal</w:t>
      </w:r>
      <w:r w:rsidRPr="001D4902">
        <w:rPr>
          <w:rFonts w:ascii="Calibri" w:eastAsia="Calibri" w:hAnsi="Calibri" w:cs="Calibri"/>
          <w:color w:val="000000" w:themeColor="text1"/>
          <w:sz w:val="20"/>
          <w:szCs w:val="20"/>
          <w:vertAlign w:val="superscript"/>
        </w:rPr>
        <w:t>7</w:t>
      </w:r>
      <w:r w:rsidRPr="001D4902">
        <w:rPr>
          <w:rFonts w:ascii="Calibri" w:eastAsia="Calibri" w:hAnsi="Calibri" w:cs="Calibri"/>
          <w:color w:val="000000" w:themeColor="text1"/>
          <w:sz w:val="20"/>
          <w:szCs w:val="20"/>
        </w:rPr>
        <w:t>.</w:t>
      </w:r>
    </w:p>
    <w:p w14:paraId="780B0FD0"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However, the Regional Council of Medicine of the State of Rio de Janeiro (CRMERJ) edited Resolution no. 136/99 to regulate the issue of blood transfusion refusal, and says in article 1 that the doctor, aware of the patient’s refusal, should not proceed with the administration of blood and its blood components before resorting to all the optional methods of known alternatives which are within their reach</w:t>
      </w:r>
      <w:r w:rsidRPr="001D4902">
        <w:rPr>
          <w:rFonts w:ascii="Calibri" w:eastAsia="Calibri" w:hAnsi="Calibri" w:cs="Calibri"/>
          <w:color w:val="000000" w:themeColor="text1"/>
          <w:sz w:val="20"/>
          <w:szCs w:val="20"/>
          <w:vertAlign w:val="superscript"/>
        </w:rPr>
        <w:t>8</w:t>
      </w:r>
      <w:r w:rsidRPr="001D4902">
        <w:rPr>
          <w:rFonts w:ascii="Calibri" w:eastAsia="Calibri" w:hAnsi="Calibri" w:cs="Calibri"/>
          <w:color w:val="000000" w:themeColor="text1"/>
          <w:sz w:val="20"/>
          <w:szCs w:val="20"/>
        </w:rPr>
        <w:t>.</w:t>
      </w:r>
    </w:p>
    <w:p w14:paraId="5B6A84B0"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According to the nursing professional code of ethics, nurses must provide care without discrimination of any kind and the exercise of their profession must be based on law, prudence, respect, solidarity and diversity of opinion and ideological position. Therefore, nurses must provide humanized care, which is not limited to the preservation of the individual’s life, but is attentive to all needs, including spiritual ones</w:t>
      </w:r>
      <w:r w:rsidRPr="001D4902">
        <w:rPr>
          <w:rFonts w:ascii="Calibri" w:eastAsia="Calibri" w:hAnsi="Calibri" w:cs="Calibri"/>
          <w:color w:val="000000" w:themeColor="text1"/>
          <w:sz w:val="20"/>
          <w:szCs w:val="20"/>
          <w:vertAlign w:val="superscript"/>
        </w:rPr>
        <w:t>9</w:t>
      </w:r>
      <w:r w:rsidRPr="001D4902">
        <w:rPr>
          <w:rFonts w:ascii="Calibri" w:eastAsia="Calibri" w:hAnsi="Calibri" w:cs="Calibri"/>
          <w:color w:val="000000" w:themeColor="text1"/>
          <w:sz w:val="20"/>
          <w:szCs w:val="20"/>
        </w:rPr>
        <w:t>.</w:t>
      </w:r>
    </w:p>
    <w:p w14:paraId="207143F5"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By the nature of nursing’s social practice, it offers patient care 24 hours a day and ends up playing an important role in terms of qualified listening. Thus, nurses need to help patients and their families by guiding, informing and clarifying doubts about the risks of their therapeutic decision. To do so, it is necessary that these professionals know how to listen and recognize the physical and emotional demands of this subject</w:t>
      </w:r>
      <w:r w:rsidRPr="001D4902">
        <w:rPr>
          <w:rFonts w:ascii="Calibri" w:eastAsia="Calibri" w:hAnsi="Calibri" w:cs="Calibri"/>
          <w:color w:val="000000" w:themeColor="text1"/>
          <w:sz w:val="20"/>
          <w:szCs w:val="20"/>
          <w:vertAlign w:val="superscript"/>
        </w:rPr>
        <w:t>10</w:t>
      </w:r>
      <w:r w:rsidRPr="001D4902">
        <w:rPr>
          <w:rFonts w:ascii="Calibri" w:eastAsia="Calibri" w:hAnsi="Calibri" w:cs="Calibri"/>
          <w:color w:val="000000" w:themeColor="text1"/>
          <w:sz w:val="20"/>
          <w:szCs w:val="20"/>
        </w:rPr>
        <w:t>. This theme requires permanent discussion guided by the bioethical principles of beneficence, non-maleficence, autonomy, justice and equity. Thus, both legislation and professional practice can protect the patient’s autonomy without compromising professional performance</w:t>
      </w:r>
      <w:r w:rsidRPr="001D4902">
        <w:rPr>
          <w:rFonts w:ascii="Calibri" w:eastAsia="Calibri" w:hAnsi="Calibri" w:cs="Calibri"/>
          <w:color w:val="000000" w:themeColor="text1"/>
          <w:sz w:val="20"/>
          <w:szCs w:val="20"/>
          <w:vertAlign w:val="superscript"/>
        </w:rPr>
        <w:t>2,11</w:t>
      </w:r>
      <w:r w:rsidRPr="001D4902">
        <w:rPr>
          <w:rFonts w:ascii="Calibri" w:eastAsia="Calibri" w:hAnsi="Calibri" w:cs="Calibri"/>
          <w:color w:val="000000" w:themeColor="text1"/>
          <w:sz w:val="20"/>
          <w:szCs w:val="20"/>
        </w:rPr>
        <w:t>.</w:t>
      </w:r>
    </w:p>
    <w:p w14:paraId="3448D6AF" w14:textId="77777777" w:rsidR="00840612" w:rsidRPr="001D4902" w:rsidRDefault="00840612" w:rsidP="00840612">
      <w:pPr>
        <w:pBdr>
          <w:top w:val="nil"/>
          <w:left w:val="nil"/>
          <w:bottom w:val="nil"/>
          <w:right w:val="nil"/>
          <w:between w:val="nil"/>
        </w:pBd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Based on the above, the following review question arises: What is the evidence on the non-transfusion of blood and blood components in Jehovah’s Witness patients in health services? Therefore, the objective of this review was to map the studies which address the non-transfusion of blood and blood components in Jehovah’s Witness patients.</w:t>
      </w:r>
    </w:p>
    <w:p w14:paraId="43685481" w14:textId="76916344" w:rsidR="00840612" w:rsidRPr="008B3FCD" w:rsidRDefault="00840612" w:rsidP="00840612">
      <w:pPr>
        <w:pStyle w:val="Etitsecao"/>
        <w:rPr>
          <w:lang w:val="en-US"/>
        </w:rPr>
      </w:pPr>
      <w:r w:rsidRPr="008B3FCD">
        <w:rPr>
          <w:lang w:val="en-US"/>
        </w:rPr>
        <w:t>Method</w:t>
      </w:r>
    </w:p>
    <w:p w14:paraId="147EC463"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This is a scoping review study following the method proposed by the Joanna Briggs Institute (JBI)</w:t>
      </w:r>
      <w:r w:rsidRPr="001D4902">
        <w:rPr>
          <w:rFonts w:ascii="Calibri" w:eastAsia="Calibri" w:hAnsi="Calibri" w:cs="Calibri"/>
          <w:color w:val="000000" w:themeColor="text1"/>
          <w:sz w:val="20"/>
          <w:szCs w:val="20"/>
          <w:vertAlign w:val="superscript"/>
        </w:rPr>
        <w:t>12</w:t>
      </w:r>
      <w:r w:rsidRPr="001D4902">
        <w:rPr>
          <w:rFonts w:ascii="Calibri" w:eastAsia="Calibri" w:hAnsi="Calibri" w:cs="Calibri"/>
          <w:color w:val="000000" w:themeColor="text1"/>
          <w:sz w:val="20"/>
          <w:szCs w:val="20"/>
        </w:rPr>
        <w:t>. Before its implementation, a search in the Open Science Framework (OSF) platforms and the JBI’s own repository showed that there was no scoping review in progress on this topic. However, the protocol of this review was not published. The review question was based on the acronym Problem, Concept and Context (PCC). In this study, P – Jehovah’s Witness Patients; C – Therapy with blood and blood components; and C – Health Services. The study went through the identification stages of the review question; search for relevant studies; selection of articles; extraction of research data and grouping of results.</w:t>
      </w:r>
    </w:p>
    <w:p w14:paraId="5E40D68A"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 xml:space="preserve">The study selection met the following inclusion criteria: for the population, studies were included which addressed Jehovah’s Witness patients of any gender and over 18 years of age, since this population does not depend on parental authorization to receive or refuse the blood transfusion. Regarding the concept, studies that addressed the issue of </w:t>
      </w:r>
      <w:r w:rsidRPr="001D4902">
        <w:rPr>
          <w:rFonts w:ascii="Calibri" w:eastAsia="Calibri" w:hAnsi="Calibri" w:cs="Calibri"/>
          <w:color w:val="000000" w:themeColor="text1"/>
          <w:sz w:val="20"/>
          <w:szCs w:val="20"/>
        </w:rPr>
        <w:lastRenderedPageBreak/>
        <w:t xml:space="preserve">refusal of blood transfusion and blood components by Jehovah’s Witness patients were included, while studies which only addressed blood transfusion without reference to the JW community were not accepted. Regarding the context, studies which discussed patients’ refusal in any type of health service were included. Articles with any methodological approach, freely available in full, were incorporated. There was no direct contact with authors, so material that was not available on the internet was not included. Neither temporal nor idiomatic cuts were implemented. </w:t>
      </w:r>
    </w:p>
    <w:p w14:paraId="78735E65"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The search strategy was carried out in three stages. First step: In order to add keywords, preliminary searches were carried out in two databases: Virtual Health Library (VHL) and US National Library of Medicine National Institutes of Health (PUBMED) based on the elements described in the PCC. The standardized terms and their synonyms in Portuguese, Spanish and English were identified in the controlled vocabularies of Descriptors in Health Sciences (DECS), Medical Subject Headings (MESH) and Embase Subject Headings (</w:t>
      </w:r>
      <w:proofErr w:type="spellStart"/>
      <w:r w:rsidRPr="001D4902">
        <w:rPr>
          <w:rFonts w:ascii="Calibri" w:eastAsia="Calibri" w:hAnsi="Calibri" w:cs="Calibri"/>
          <w:color w:val="000000" w:themeColor="text1"/>
          <w:sz w:val="20"/>
          <w:szCs w:val="20"/>
        </w:rPr>
        <w:t>Emtree</w:t>
      </w:r>
      <w:proofErr w:type="spellEnd"/>
      <w:r w:rsidRPr="001D4902">
        <w:rPr>
          <w:rFonts w:ascii="Calibri" w:eastAsia="Calibri" w:hAnsi="Calibri" w:cs="Calibri"/>
          <w:color w:val="000000" w:themeColor="text1"/>
          <w:sz w:val="20"/>
          <w:szCs w:val="20"/>
        </w:rPr>
        <w:t xml:space="preserve">). The terms were arranged with quotation marks to establish the exact expression of the compound term and word order. The Boolean operators OR were used to group synonyms and </w:t>
      </w:r>
      <w:proofErr w:type="spellStart"/>
      <w:r w:rsidRPr="001D4902">
        <w:rPr>
          <w:rFonts w:ascii="Calibri" w:eastAsia="Calibri" w:hAnsi="Calibri" w:cs="Calibri"/>
          <w:color w:val="000000" w:themeColor="text1"/>
          <w:sz w:val="20"/>
          <w:szCs w:val="20"/>
        </w:rPr>
        <w:t>AND</w:t>
      </w:r>
      <w:proofErr w:type="spellEnd"/>
      <w:r w:rsidRPr="001D4902">
        <w:rPr>
          <w:rFonts w:ascii="Calibri" w:eastAsia="Calibri" w:hAnsi="Calibri" w:cs="Calibri"/>
          <w:color w:val="000000" w:themeColor="text1"/>
          <w:sz w:val="20"/>
          <w:szCs w:val="20"/>
        </w:rPr>
        <w:t xml:space="preserve"> to intersect the terms in the search strategy. This preliminary step sought to check for new terms in the titles, abstracts and indices of the retrieved articles in order to expand the descriptors and keywords used in the final search strategy.</w:t>
      </w:r>
    </w:p>
    <w:p w14:paraId="7CF948F7" w14:textId="77777777" w:rsidR="00840612" w:rsidRPr="001D4902" w:rsidRDefault="00840612" w:rsidP="00840612">
      <w:pPr>
        <w:spacing w:after="120" w:line="240" w:lineRule="auto"/>
        <w:ind w:firstLine="454"/>
        <w:jc w:val="both"/>
        <w:rPr>
          <w:rFonts w:ascii="Calibri" w:hAnsi="Calibri" w:cs="Calibri"/>
          <w:color w:val="000000" w:themeColor="text1"/>
          <w:sz w:val="20"/>
          <w:szCs w:val="20"/>
        </w:rPr>
      </w:pPr>
      <w:r w:rsidRPr="001D4902">
        <w:rPr>
          <w:rFonts w:ascii="Calibri" w:eastAsia="Calibri" w:hAnsi="Calibri" w:cs="Calibri"/>
          <w:color w:val="000000" w:themeColor="text1"/>
          <w:sz w:val="20"/>
          <w:szCs w:val="20"/>
        </w:rPr>
        <w:t xml:space="preserve">The search strategy used in the </w:t>
      </w:r>
      <w:proofErr w:type="spellStart"/>
      <w:r w:rsidRPr="001D4902">
        <w:rPr>
          <w:rFonts w:ascii="Calibri" w:eastAsia="Calibri" w:hAnsi="Calibri" w:cs="Calibri"/>
          <w:color w:val="000000" w:themeColor="text1"/>
          <w:sz w:val="20"/>
          <w:szCs w:val="20"/>
        </w:rPr>
        <w:t>Pubmed</w:t>
      </w:r>
      <w:proofErr w:type="spellEnd"/>
      <w:r w:rsidRPr="001D4902">
        <w:rPr>
          <w:rFonts w:ascii="Calibri" w:eastAsia="Calibri" w:hAnsi="Calibri" w:cs="Calibri"/>
          <w:color w:val="000000" w:themeColor="text1"/>
          <w:sz w:val="20"/>
          <w:szCs w:val="20"/>
        </w:rPr>
        <w:t xml:space="preserve"> database was as follows: </w:t>
      </w:r>
      <w:r w:rsidRPr="001D4902">
        <w:rPr>
          <w:rFonts w:ascii="Calibri" w:hAnsi="Calibri" w:cs="Calibri"/>
          <w:i/>
          <w:color w:val="000000" w:themeColor="text1"/>
          <w:sz w:val="20"/>
          <w:szCs w:val="20"/>
        </w:rPr>
        <w:t>(("</w:t>
      </w:r>
      <w:proofErr w:type="spellStart"/>
      <w:r w:rsidRPr="001D4902">
        <w:rPr>
          <w:rFonts w:ascii="Calibri" w:hAnsi="Calibri" w:cs="Calibri"/>
          <w:i/>
          <w:color w:val="000000" w:themeColor="text1"/>
          <w:sz w:val="20"/>
          <w:szCs w:val="20"/>
        </w:rPr>
        <w:t>jehovah</w:t>
      </w:r>
      <w:proofErr w:type="spellEnd"/>
      <w:r w:rsidRPr="001D4902">
        <w:rPr>
          <w:rFonts w:ascii="Calibri" w:hAnsi="Calibri" w:cs="Calibri"/>
          <w:i/>
          <w:color w:val="000000" w:themeColor="text1"/>
          <w:sz w:val="20"/>
          <w:szCs w:val="20"/>
        </w:rPr>
        <w:t xml:space="preserve"> s witnesses"[</w:t>
      </w:r>
      <w:proofErr w:type="spellStart"/>
      <w:r w:rsidRPr="001D4902">
        <w:rPr>
          <w:rFonts w:ascii="Calibri" w:hAnsi="Calibri" w:cs="Calibri"/>
          <w:i/>
          <w:color w:val="000000" w:themeColor="text1"/>
          <w:sz w:val="20"/>
          <w:szCs w:val="20"/>
        </w:rPr>
        <w:t>MeSH</w:t>
      </w:r>
      <w:proofErr w:type="spellEnd"/>
      <w:r w:rsidRPr="001D4902">
        <w:rPr>
          <w:rFonts w:ascii="Calibri" w:hAnsi="Calibri" w:cs="Calibri"/>
          <w:i/>
          <w:color w:val="000000" w:themeColor="text1"/>
          <w:sz w:val="20"/>
          <w:szCs w:val="20"/>
        </w:rPr>
        <w:t xml:space="preserve"> Terms]) OR ("Jehovah's Witnesses"[Title/Abstract] OR "Jehovah Witnesses"[Title/Abstract] OR "</w:t>
      </w:r>
      <w:proofErr w:type="spellStart"/>
      <w:r w:rsidRPr="001D4902">
        <w:rPr>
          <w:rFonts w:ascii="Calibri" w:hAnsi="Calibri" w:cs="Calibri"/>
          <w:i/>
          <w:color w:val="000000" w:themeColor="text1"/>
          <w:sz w:val="20"/>
          <w:szCs w:val="20"/>
        </w:rPr>
        <w:t>Jehovahs</w:t>
      </w:r>
      <w:proofErr w:type="spellEnd"/>
      <w:r w:rsidRPr="001D4902">
        <w:rPr>
          <w:rFonts w:ascii="Calibri" w:hAnsi="Calibri" w:cs="Calibri"/>
          <w:i/>
          <w:color w:val="000000" w:themeColor="text1"/>
          <w:sz w:val="20"/>
          <w:szCs w:val="20"/>
        </w:rPr>
        <w:t xml:space="preserve"> Witnesses"[Title/Abstract] OR "Witnesses, Jehovah's"[Title/Abstract] OR "Jehovah witness"[Title/Abstract] OR "</w:t>
      </w:r>
      <w:proofErr w:type="spellStart"/>
      <w:r w:rsidRPr="001D4902">
        <w:rPr>
          <w:rFonts w:ascii="Calibri" w:hAnsi="Calibri" w:cs="Calibri"/>
          <w:i/>
          <w:color w:val="000000" w:themeColor="text1"/>
          <w:sz w:val="20"/>
          <w:szCs w:val="20"/>
        </w:rPr>
        <w:t>Jehovahs</w:t>
      </w:r>
      <w:proofErr w:type="spellEnd"/>
      <w:r w:rsidRPr="001D4902">
        <w:rPr>
          <w:rFonts w:ascii="Calibri" w:hAnsi="Calibri" w:cs="Calibri"/>
          <w:i/>
          <w:color w:val="000000" w:themeColor="text1"/>
          <w:sz w:val="20"/>
          <w:szCs w:val="20"/>
        </w:rPr>
        <w:t xml:space="preserve"> witness"[Title/Abstract] OR "Jehovah's witness"[Title/Abstract] OR Jehovah[Title/Abstract])) AND (("treatment refusal"[</w:t>
      </w:r>
      <w:proofErr w:type="spellStart"/>
      <w:r w:rsidRPr="001D4902">
        <w:rPr>
          <w:rFonts w:ascii="Calibri" w:hAnsi="Calibri" w:cs="Calibri"/>
          <w:i/>
          <w:color w:val="000000" w:themeColor="text1"/>
          <w:sz w:val="20"/>
          <w:szCs w:val="20"/>
        </w:rPr>
        <w:t>MeSH</w:t>
      </w:r>
      <w:proofErr w:type="spellEnd"/>
      <w:r w:rsidRPr="001D4902">
        <w:rPr>
          <w:rFonts w:ascii="Calibri" w:hAnsi="Calibri" w:cs="Calibri"/>
          <w:i/>
          <w:color w:val="000000" w:themeColor="text1"/>
          <w:sz w:val="20"/>
          <w:szCs w:val="20"/>
        </w:rPr>
        <w:t xml:space="preserve"> Terms]) OR ("Treatment Refusal"[Title/Abstract] OR "Refusal, Treatment"[Title/Abstract] OR "Refusals, Treatment"[Title/Abstract] OR "Treatment Refusals"[Title/Abstract] OR "Patient Refusal of Treatment"[Title/Abstract] OR "Refusal of</w:t>
      </w:r>
      <w:r w:rsidRPr="001D4902">
        <w:rPr>
          <w:rFonts w:ascii="Calibri" w:hAnsi="Calibri" w:cs="Calibri"/>
          <w:color w:val="000000" w:themeColor="text1"/>
          <w:sz w:val="20"/>
          <w:szCs w:val="20"/>
        </w:rPr>
        <w:t xml:space="preserve"> </w:t>
      </w:r>
      <w:r w:rsidRPr="001D4902">
        <w:rPr>
          <w:rFonts w:ascii="Calibri" w:hAnsi="Calibri" w:cs="Calibri"/>
          <w:i/>
          <w:color w:val="000000" w:themeColor="text1"/>
          <w:sz w:val="20"/>
          <w:szCs w:val="20"/>
        </w:rPr>
        <w:t>Treatment"[Title/Abstract] OR "Patient Elopement"[Title/Abstract] OR "Elopement, Patient"[Title/Abstract] OR "Elopements, Patient"[Title/Abstract] OR "Patient Elopements"[Title/Abstract] OR "refusal of care"[Title/Abstract] OR "refusing medical treatment"[Title/Abstract] OR "Patient Refusal"[Title/Abstract] OR "Refusal of patients"[Title/Abstract] OR "patient non-adherence"[Title/Abstract] OR "patient non-compliance"[Title/Abstract] OR "patient nonadherence"[Title/Abstract] OR "patient noncompliance"[Title/Abstract] OR "patient refusal of treatment"[Title/Abstract] OR "patients' non-adherence"[Title/Abstract] OR "patients' non-compliance"[Title/Abstract] OR "patients' nonadherence"[Title/Abstract] OR "patients' noncompliance"[Title/Abstract</w:t>
      </w:r>
      <w:r w:rsidRPr="001D4902">
        <w:rPr>
          <w:rFonts w:ascii="Calibri" w:hAnsi="Calibri" w:cs="Calibri"/>
          <w:color w:val="000000" w:themeColor="text1"/>
          <w:sz w:val="20"/>
          <w:szCs w:val="20"/>
        </w:rPr>
        <w:t>])). Small adaptations were adopted for the other databases.</w:t>
      </w:r>
    </w:p>
    <w:p w14:paraId="02712ABD"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hAnsi="Calibri" w:cs="Calibri"/>
          <w:color w:val="000000" w:themeColor="text1"/>
          <w:sz w:val="20"/>
          <w:szCs w:val="20"/>
        </w:rPr>
        <w:t>Second stage: The research carried out in October 2020 used all the keywords identified, producing a broad mapping which was then conducted in the following databases: in the Regional Portal of the Virtual Health Library (BVS) in its main databases - Latin American and Caribbean Literature on Health Sciences (LILACS), Medline/</w:t>
      </w:r>
      <w:proofErr w:type="spellStart"/>
      <w:r w:rsidRPr="001D4902">
        <w:rPr>
          <w:rFonts w:ascii="Calibri" w:hAnsi="Calibri" w:cs="Calibri"/>
          <w:color w:val="000000" w:themeColor="text1"/>
          <w:sz w:val="20"/>
          <w:szCs w:val="20"/>
        </w:rPr>
        <w:t>Pubmed</w:t>
      </w:r>
      <w:proofErr w:type="spellEnd"/>
      <w:r w:rsidRPr="001D4902">
        <w:rPr>
          <w:rFonts w:ascii="Calibri" w:hAnsi="Calibri" w:cs="Calibri"/>
          <w:color w:val="000000" w:themeColor="text1"/>
          <w:sz w:val="20"/>
          <w:szCs w:val="20"/>
        </w:rPr>
        <w:t>, and the Scientific Electronic Library Online (</w:t>
      </w:r>
      <w:proofErr w:type="spellStart"/>
      <w:r w:rsidRPr="001D4902">
        <w:rPr>
          <w:rFonts w:ascii="Calibri" w:hAnsi="Calibri" w:cs="Calibri"/>
          <w:color w:val="000000" w:themeColor="text1"/>
          <w:sz w:val="20"/>
          <w:szCs w:val="20"/>
        </w:rPr>
        <w:t>Scielo</w:t>
      </w:r>
      <w:proofErr w:type="spellEnd"/>
      <w:r w:rsidRPr="001D4902">
        <w:rPr>
          <w:rFonts w:ascii="Calibri" w:hAnsi="Calibri" w:cs="Calibri"/>
          <w:color w:val="000000" w:themeColor="text1"/>
          <w:sz w:val="20"/>
          <w:szCs w:val="20"/>
        </w:rPr>
        <w:t>); the following databases were used on the Capes Journal Portal: Applied Social Sciences Index &amp; Abstracts - ASSIA (</w:t>
      </w:r>
      <w:proofErr w:type="spellStart"/>
      <w:r w:rsidRPr="001D4902">
        <w:rPr>
          <w:rFonts w:ascii="Calibri" w:hAnsi="Calibri" w:cs="Calibri"/>
          <w:color w:val="000000" w:themeColor="text1"/>
          <w:sz w:val="20"/>
          <w:szCs w:val="20"/>
        </w:rPr>
        <w:t>Proquest</w:t>
      </w:r>
      <w:proofErr w:type="spellEnd"/>
      <w:r w:rsidRPr="001D4902">
        <w:rPr>
          <w:rFonts w:ascii="Calibri" w:hAnsi="Calibri" w:cs="Calibri"/>
          <w:color w:val="000000" w:themeColor="text1"/>
          <w:sz w:val="20"/>
          <w:szCs w:val="20"/>
        </w:rPr>
        <w:t xml:space="preserve">), Cumulative Index to Nursing and Allied Health Literature – </w:t>
      </w:r>
      <w:proofErr w:type="spellStart"/>
      <w:r w:rsidRPr="001D4902">
        <w:rPr>
          <w:rFonts w:ascii="Calibri" w:hAnsi="Calibri" w:cs="Calibri"/>
          <w:color w:val="000000" w:themeColor="text1"/>
          <w:sz w:val="20"/>
          <w:szCs w:val="20"/>
        </w:rPr>
        <w:t>Cinahl</w:t>
      </w:r>
      <w:proofErr w:type="spellEnd"/>
      <w:r w:rsidRPr="001D4902">
        <w:rPr>
          <w:rFonts w:ascii="Calibri" w:hAnsi="Calibri" w:cs="Calibri"/>
          <w:color w:val="000000" w:themeColor="text1"/>
          <w:sz w:val="20"/>
          <w:szCs w:val="20"/>
        </w:rPr>
        <w:t xml:space="preserve">, Academic Search Premier; </w:t>
      </w:r>
      <w:proofErr w:type="spellStart"/>
      <w:r w:rsidRPr="001D4902">
        <w:rPr>
          <w:rFonts w:ascii="Calibri" w:hAnsi="Calibri" w:cs="Calibri"/>
          <w:color w:val="000000" w:themeColor="text1"/>
          <w:sz w:val="20"/>
          <w:szCs w:val="20"/>
        </w:rPr>
        <w:t>SocINDEX</w:t>
      </w:r>
      <w:proofErr w:type="spellEnd"/>
      <w:r w:rsidRPr="001D4902">
        <w:rPr>
          <w:rFonts w:ascii="Calibri" w:hAnsi="Calibri" w:cs="Calibri"/>
          <w:color w:val="000000" w:themeColor="text1"/>
          <w:sz w:val="20"/>
          <w:szCs w:val="20"/>
        </w:rPr>
        <w:t xml:space="preserve"> with Full Text (EBSCO), APA </w:t>
      </w:r>
      <w:proofErr w:type="spellStart"/>
      <w:r w:rsidRPr="001D4902">
        <w:rPr>
          <w:rFonts w:ascii="Calibri" w:hAnsi="Calibri" w:cs="Calibri"/>
          <w:color w:val="000000" w:themeColor="text1"/>
          <w:sz w:val="20"/>
          <w:szCs w:val="20"/>
        </w:rPr>
        <w:t>PsycInfo</w:t>
      </w:r>
      <w:proofErr w:type="spellEnd"/>
      <w:r w:rsidRPr="001D4902">
        <w:rPr>
          <w:rFonts w:ascii="Calibri" w:hAnsi="Calibri" w:cs="Calibri"/>
          <w:color w:val="000000" w:themeColor="text1"/>
          <w:sz w:val="20"/>
          <w:szCs w:val="20"/>
        </w:rPr>
        <w:t xml:space="preserve"> (American Psychological Association), Web of Science (Clarivate Analytics), Scopus and Embase (Elsevier). We also searched the Brazilian Digital Library of Theses and Dissertations (BDTD) of the Brazilian Institute of Information in Science and Technology (IBICT) and Science.Gov.</w:t>
      </w:r>
      <w:r w:rsidRPr="001D4902">
        <w:rPr>
          <w:rFonts w:ascii="Calibri" w:eastAsia="Calibri" w:hAnsi="Calibri" w:cs="Calibri"/>
          <w:color w:val="000000" w:themeColor="text1"/>
          <w:sz w:val="20"/>
          <w:szCs w:val="20"/>
        </w:rPr>
        <w:t xml:space="preserve"> t</w:t>
      </w:r>
      <w:r w:rsidRPr="001D4902">
        <w:rPr>
          <w:rFonts w:ascii="Calibri" w:hAnsi="Calibri" w:cs="Calibri"/>
          <w:color w:val="000000" w:themeColor="text1"/>
          <w:sz w:val="20"/>
          <w:szCs w:val="20"/>
        </w:rPr>
        <w:t>o add gray literature documents.</w:t>
      </w:r>
    </w:p>
    <w:p w14:paraId="4A8143A4"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Third step: A manual search was carried out in the reference lists of the selected articles in order to identify relevant studies which might not have been reached by the electronic search in the databases. The entire process of mapping descriptors and keywords for the evidence search strategy, as well as the search itself, were carried out in partnership with a health librarian, as recommended by the JBI.</w:t>
      </w:r>
    </w:p>
    <w:p w14:paraId="5C0CC026"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The scoping review followed the process of selecting sources of evidence by the following steps: screening by title, examining the abstract, and finally, evaluating the full text. The selection process was conducted in Rayyan® software program from the definition of inclusion and exclusion criteria, which allows to assign reason for exclusion and label for inclusions. The selection of articles was performed by two members of the research team independently, and a third evaluator intervened when they diverged. After reading an article in full, a table was created to detail the included and excluded sources, organizing them from the PRISMA-</w:t>
      </w:r>
      <w:proofErr w:type="spellStart"/>
      <w:r w:rsidRPr="001D4902">
        <w:rPr>
          <w:rFonts w:ascii="Calibri" w:eastAsia="Calibri" w:hAnsi="Calibri" w:cs="Calibri"/>
          <w:color w:val="000000" w:themeColor="text1"/>
          <w:sz w:val="20"/>
          <w:szCs w:val="20"/>
        </w:rPr>
        <w:t>ScR</w:t>
      </w:r>
      <w:proofErr w:type="spellEnd"/>
      <w:r w:rsidRPr="001D4902">
        <w:rPr>
          <w:rFonts w:ascii="Calibri" w:eastAsia="Calibri" w:hAnsi="Calibri" w:cs="Calibri"/>
          <w:color w:val="000000" w:themeColor="text1"/>
          <w:sz w:val="20"/>
          <w:szCs w:val="20"/>
        </w:rPr>
        <w:t xml:space="preserve"> flowchart</w:t>
      </w:r>
      <w:r w:rsidRPr="001D4902">
        <w:rPr>
          <w:rFonts w:ascii="Calibri" w:eastAsia="Calibri" w:hAnsi="Calibri" w:cs="Calibri"/>
          <w:color w:val="000000" w:themeColor="text1"/>
          <w:sz w:val="20"/>
          <w:szCs w:val="20"/>
          <w:vertAlign w:val="superscript"/>
        </w:rPr>
        <w:t>13</w:t>
      </w:r>
      <w:r w:rsidRPr="001D4902">
        <w:rPr>
          <w:rFonts w:ascii="Calibri" w:eastAsia="Calibri" w:hAnsi="Calibri" w:cs="Calibri"/>
          <w:color w:val="000000" w:themeColor="text1"/>
          <w:sz w:val="20"/>
          <w:szCs w:val="20"/>
        </w:rPr>
        <w:t>.</w:t>
      </w:r>
    </w:p>
    <w:p w14:paraId="70344CEA"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 xml:space="preserve">The data extracted from the mapping from a form previously prepared by the authors included: 1. Authors; 2. Year of publication; 3. Country of the study; 4. Objectives of the study; 5. Method; and 6. Results achieved. The central elements and units of analysis of each article were evaluated from this data extraction, generating a categorization by similarity of the subjects discussed. These categories are presented through a narrative synthesis. </w:t>
      </w:r>
      <w:bookmarkStart w:id="0" w:name="_gjdgxs" w:colFirst="0" w:colLast="0"/>
      <w:bookmarkEnd w:id="0"/>
    </w:p>
    <w:p w14:paraId="2177A86B" w14:textId="77777777" w:rsidR="00840612" w:rsidRPr="001D4902" w:rsidRDefault="00840612" w:rsidP="00840612">
      <w:pPr>
        <w:spacing w:after="120" w:line="240" w:lineRule="auto"/>
        <w:ind w:firstLine="454"/>
        <w:jc w:val="both"/>
        <w:rPr>
          <w:rFonts w:ascii="Calibri" w:eastAsia="Calibri" w:hAnsi="Calibri" w:cs="Calibri"/>
          <w:b/>
          <w:color w:val="000000" w:themeColor="text1"/>
          <w:sz w:val="20"/>
          <w:szCs w:val="20"/>
        </w:rPr>
      </w:pPr>
    </w:p>
    <w:p w14:paraId="0684CAA5" w14:textId="65FB94CD" w:rsidR="00840612" w:rsidRPr="008B3FCD" w:rsidRDefault="00840612" w:rsidP="00840612">
      <w:pPr>
        <w:pStyle w:val="Etitsecao"/>
        <w:rPr>
          <w:lang w:val="en-US"/>
        </w:rPr>
      </w:pPr>
      <w:r w:rsidRPr="008B3FCD">
        <w:rPr>
          <w:lang w:val="en-US"/>
        </w:rPr>
        <w:lastRenderedPageBreak/>
        <w:t>Results</w:t>
      </w:r>
    </w:p>
    <w:p w14:paraId="2F5ED124"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The flowchart of search and selection of manuscripts is shown in Figure 1.</w:t>
      </w:r>
    </w:p>
    <w:p w14:paraId="7AEB61A0" w14:textId="77777777" w:rsidR="008743DD" w:rsidRDefault="008743DD" w:rsidP="00840612">
      <w:pPr>
        <w:spacing w:after="120" w:line="240" w:lineRule="auto"/>
        <w:ind w:firstLine="454"/>
        <w:jc w:val="both"/>
        <w:rPr>
          <w:rFonts w:ascii="Calibri" w:eastAsia="Calibri" w:hAnsi="Calibri" w:cs="Calibri"/>
          <w:color w:val="000000" w:themeColor="text1"/>
          <w:sz w:val="20"/>
          <w:szCs w:val="20"/>
        </w:rPr>
      </w:pPr>
    </w:p>
    <w:p w14:paraId="5D24FC63" w14:textId="5246A316" w:rsidR="00840612" w:rsidRPr="001D4902" w:rsidRDefault="008743DD" w:rsidP="00840612">
      <w:pPr>
        <w:spacing w:after="120" w:line="240" w:lineRule="auto"/>
        <w:ind w:firstLine="454"/>
        <w:jc w:val="both"/>
        <w:rPr>
          <w:rFonts w:ascii="Calibri" w:eastAsia="Calibri" w:hAnsi="Calibri" w:cs="Calibri"/>
          <w:color w:val="000000" w:themeColor="text1"/>
          <w:sz w:val="20"/>
          <w:szCs w:val="20"/>
        </w:rPr>
      </w:pPr>
      <w:r>
        <w:rPr>
          <w:rFonts w:ascii="Calibri" w:hAnsi="Calibri" w:cs="Calibri"/>
          <w:noProof/>
          <w:color w:val="000000" w:themeColor="text1"/>
          <w:sz w:val="20"/>
          <w:szCs w:val="20"/>
          <w:lang w:val="pt-BR"/>
        </w:rPr>
        <mc:AlternateContent>
          <mc:Choice Requires="wpg">
            <w:drawing>
              <wp:anchor distT="0" distB="0" distL="114300" distR="114300" simplePos="0" relativeHeight="251659264" behindDoc="0" locked="0" layoutInCell="1" allowOverlap="1" wp14:anchorId="1A2B77BE" wp14:editId="14505C22">
                <wp:simplePos x="0" y="0"/>
                <wp:positionH relativeFrom="column">
                  <wp:align>center</wp:align>
                </wp:positionH>
                <wp:positionV relativeFrom="paragraph">
                  <wp:posOffset>226695</wp:posOffset>
                </wp:positionV>
                <wp:extent cx="4658400" cy="5097600"/>
                <wp:effectExtent l="0" t="0" r="27940" b="27305"/>
                <wp:wrapTopAndBottom/>
                <wp:docPr id="38" name="Agrupar 38"/>
                <wp:cNvGraphicFramePr/>
                <a:graphic xmlns:a="http://schemas.openxmlformats.org/drawingml/2006/main">
                  <a:graphicData uri="http://schemas.microsoft.com/office/word/2010/wordprocessingGroup">
                    <wpg:wgp>
                      <wpg:cNvGrpSpPr/>
                      <wpg:grpSpPr>
                        <a:xfrm>
                          <a:off x="0" y="0"/>
                          <a:ext cx="4658400" cy="5097600"/>
                          <a:chOff x="0" y="0"/>
                          <a:chExt cx="4659573" cy="5098028"/>
                        </a:xfrm>
                      </wpg:grpSpPr>
                      <wps:wsp>
                        <wps:cNvPr id="24" name="Rectangle 1"/>
                        <wps:cNvSpPr/>
                        <wps:spPr>
                          <a:xfrm>
                            <a:off x="460648" y="460858"/>
                            <a:ext cx="1905000" cy="15069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F9D9F"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Studies identified (n=1435)</w:t>
                              </w:r>
                            </w:p>
                            <w:p w14:paraId="289EB39B"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 xml:space="preserve">Databases: ASSIA (n=10); BDTD (n=06); BVS (n= 45); CINAHL (n = 86)Academic Search Premier (n = 36) SocINDEXwith FullText (n=02); </w:t>
                              </w:r>
                            </w:p>
                            <w:p w14:paraId="6B5D08CA" w14:textId="77777777" w:rsidR="008743DD" w:rsidRPr="00E950E8" w:rsidRDefault="008743DD" w:rsidP="008743DD">
                              <w:pPr>
                                <w:spacing w:after="0" w:line="240" w:lineRule="auto"/>
                                <w:rPr>
                                  <w:rFonts w:ascii="Calibri" w:hAnsi="Calibri" w:cs="Calibri"/>
                                  <w:color w:val="000000" w:themeColor="text1"/>
                                  <w:sz w:val="18"/>
                                  <w:szCs w:val="18"/>
                                  <w:lang w:val="pt-BR"/>
                                </w:rPr>
                              </w:pPr>
                              <w:r w:rsidRPr="00E950E8">
                                <w:rPr>
                                  <w:rFonts w:ascii="Calibri" w:hAnsi="Calibri" w:cs="Calibri"/>
                                  <w:color w:val="000000" w:themeColor="text1"/>
                                  <w:sz w:val="18"/>
                                  <w:szCs w:val="18"/>
                                  <w:lang w:val="pt-BR"/>
                                </w:rPr>
                                <w:t>Embase (n=139); Medline/PubMed (n=465); PsycINFO (n=06); Scielo (n=01);</w:t>
                              </w:r>
                            </w:p>
                            <w:p w14:paraId="6B271229" w14:textId="77777777" w:rsidR="008743DD" w:rsidRPr="00E950E8" w:rsidRDefault="008743DD" w:rsidP="008743DD">
                              <w:pPr>
                                <w:spacing w:after="0" w:line="240" w:lineRule="auto"/>
                                <w:rPr>
                                  <w:rFonts w:ascii="Calibri" w:hAnsi="Calibri" w:cs="Calibri"/>
                                  <w:color w:val="000000" w:themeColor="text1"/>
                                  <w:sz w:val="18"/>
                                  <w:szCs w:val="18"/>
                                  <w:lang w:val="pt-BR"/>
                                </w:rPr>
                              </w:pPr>
                              <w:r w:rsidRPr="00E950E8">
                                <w:rPr>
                                  <w:rFonts w:ascii="Calibri" w:hAnsi="Calibri" w:cs="Calibri"/>
                                  <w:color w:val="000000" w:themeColor="text1"/>
                                  <w:sz w:val="18"/>
                                  <w:szCs w:val="18"/>
                                  <w:lang w:val="pt-BR"/>
                                </w:rPr>
                                <w:t xml:space="preserve">Science.Gov (n=96); Scopus (n=538); </w:t>
                              </w:r>
                            </w:p>
                            <w:p w14:paraId="54F09492" w14:textId="77777777" w:rsidR="008743DD" w:rsidRPr="00E950E8"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Web of Science (n=29)</w:t>
                              </w:r>
                            </w:p>
                            <w:p w14:paraId="2C80919D" w14:textId="77777777" w:rsidR="008743DD" w:rsidRPr="00E53AD5" w:rsidRDefault="008743DD" w:rsidP="008743DD">
                              <w:pPr>
                                <w:spacing w:after="0" w:line="240" w:lineRule="auto"/>
                                <w:rPr>
                                  <w:rFonts w:ascii="Calibri" w:hAnsi="Calibri" w:cs="Calibri"/>
                                  <w:color w:val="000000" w:themeColor="text1"/>
                                  <w:sz w:val="18"/>
                                  <w:szCs w:val="18"/>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
                        <wps:cNvSpPr/>
                        <wps:spPr>
                          <a:xfrm>
                            <a:off x="2940501" y="921715"/>
                            <a:ext cx="170434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EEF14"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Studies removed before screening:</w:t>
                              </w:r>
                              <w:r>
                                <w:rPr>
                                  <w:rFonts w:ascii="Calibri" w:hAnsi="Calibri" w:cs="Calibri"/>
                                  <w:color w:val="000000" w:themeColor="text1"/>
                                  <w:sz w:val="18"/>
                                  <w:szCs w:val="18"/>
                                </w:rPr>
                                <w:t xml:space="preserve"> </w:t>
                              </w:r>
                              <w:r w:rsidRPr="00E950E8">
                                <w:rPr>
                                  <w:rFonts w:ascii="Calibri" w:hAnsi="Calibri" w:cs="Calibri"/>
                                  <w:color w:val="000000" w:themeColor="text1"/>
                                  <w:sz w:val="18"/>
                                  <w:szCs w:val="18"/>
                                </w:rPr>
                                <w:t>Duplicate studies removed</w:t>
                              </w:r>
                              <w:r>
                                <w:rPr>
                                  <w:rFonts w:ascii="Calibri" w:hAnsi="Calibri" w:cs="Calibri"/>
                                  <w:color w:val="000000" w:themeColor="text1"/>
                                  <w:sz w:val="18"/>
                                  <w:szCs w:val="18"/>
                                </w:rPr>
                                <w:t xml:space="preserve"> </w:t>
                              </w:r>
                              <w:r w:rsidRPr="00E950E8">
                                <w:rPr>
                                  <w:rFonts w:ascii="Calibri" w:hAnsi="Calibri" w:cs="Calibri"/>
                                  <w:color w:val="000000" w:themeColor="text1"/>
                                  <w:sz w:val="18"/>
                                  <w:szCs w:val="18"/>
                                </w:rPr>
                                <w:t>(n =716)</w:t>
                              </w:r>
                            </w:p>
                            <w:p w14:paraId="6406B133" w14:textId="77777777" w:rsidR="008743DD" w:rsidRPr="007624C3" w:rsidRDefault="008743DD" w:rsidP="008743DD">
                              <w:pPr>
                                <w:rPr>
                                  <w:rFonts w:ascii="Calibri" w:hAnsi="Calibri" w:cs="Calibri"/>
                                  <w:color w:val="000000" w:themeColor="text1"/>
                                  <w:sz w:val="18"/>
                                  <w:szCs w:val="18"/>
                                </w:rPr>
                              </w:pPr>
                              <w:r w:rsidRPr="007624C3">
                                <w:rPr>
                                  <w:rFonts w:ascii="Calibri" w:hAnsi="Calibri" w:cs="Calibr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3"/>
                        <wps:cNvSpPr/>
                        <wps:spPr>
                          <a:xfrm>
                            <a:off x="453333" y="2253082"/>
                            <a:ext cx="1895475" cy="4901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8D0AF" w14:textId="77777777" w:rsidR="008743DD" w:rsidRPr="007624C3"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 xml:space="preserve">Studies with title and abstract evaluation (719)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4"/>
                        <wps:cNvSpPr/>
                        <wps:spPr>
                          <a:xfrm>
                            <a:off x="2911240" y="2187245"/>
                            <a:ext cx="1710690" cy="608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ABDA4" w14:textId="77777777" w:rsidR="008743DD" w:rsidRPr="00E950E8"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 xml:space="preserve">Studies excluded for not meeting the inclusion criteria </w:t>
                              </w:r>
                              <w:r>
                                <w:rPr>
                                  <w:rFonts w:ascii="Calibri" w:hAnsi="Calibri" w:cs="Calibri"/>
                                  <w:color w:val="000000" w:themeColor="text1"/>
                                  <w:sz w:val="18"/>
                                  <w:szCs w:val="18"/>
                                </w:rPr>
                                <w:br/>
                              </w:r>
                              <w:r w:rsidRPr="00E950E8">
                                <w:rPr>
                                  <w:rFonts w:ascii="Calibri" w:hAnsi="Calibri" w:cs="Calibri"/>
                                  <w:color w:val="000000" w:themeColor="text1"/>
                                  <w:sz w:val="18"/>
                                  <w:szCs w:val="18"/>
                                </w:rPr>
                                <w:t>(n = 452)</w:t>
                              </w:r>
                            </w:p>
                            <w:p w14:paraId="7F49FDFD" w14:textId="77777777" w:rsidR="008743DD" w:rsidRPr="007624C3" w:rsidRDefault="008743DD" w:rsidP="008743DD">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89909" y="3057754"/>
                            <a:ext cx="1836420" cy="460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1C2B4" w14:textId="77777777" w:rsidR="008743DD" w:rsidRPr="00E950E8" w:rsidRDefault="008743DD" w:rsidP="008743DD">
                              <w:pPr>
                                <w:rPr>
                                  <w:rFonts w:ascii="Calibri" w:hAnsi="Calibri" w:cs="Calibri"/>
                                  <w:color w:val="000000" w:themeColor="text1"/>
                                  <w:sz w:val="18"/>
                                  <w:szCs w:val="20"/>
                                </w:rPr>
                              </w:pPr>
                              <w:r w:rsidRPr="00E950E8">
                                <w:rPr>
                                  <w:rFonts w:ascii="Calibri" w:hAnsi="Calibri" w:cs="Calibri"/>
                                  <w:color w:val="000000" w:themeColor="text1"/>
                                  <w:sz w:val="18"/>
                                  <w:szCs w:val="20"/>
                                </w:rPr>
                                <w:t>Studies selected for reading the title, abstract and full text (n =267)</w:t>
                              </w:r>
                            </w:p>
                            <w:p w14:paraId="5CB74D87" w14:textId="77777777" w:rsidR="008743DD" w:rsidRPr="007624C3" w:rsidRDefault="008743DD" w:rsidP="008743DD">
                              <w:pPr>
                                <w:rPr>
                                  <w:rFonts w:ascii="Calibri" w:hAnsi="Calibri" w:cs="Calibri"/>
                                  <w:color w:val="000000" w:themeColor="text1"/>
                                  <w:spacing w:val="-2"/>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6"/>
                        <wps:cNvSpPr/>
                        <wps:spPr>
                          <a:xfrm>
                            <a:off x="2903925" y="3050439"/>
                            <a:ext cx="1718005" cy="474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62196" w14:textId="77777777" w:rsidR="008743DD" w:rsidRPr="008743DD" w:rsidRDefault="008743DD" w:rsidP="008743DD">
                              <w:pPr>
                                <w:rPr>
                                  <w:rFonts w:ascii="Calibri" w:hAnsi="Calibri" w:cs="Calibri"/>
                                  <w:color w:val="000000" w:themeColor="text1"/>
                                  <w:sz w:val="18"/>
                                  <w:szCs w:val="18"/>
                                </w:rPr>
                              </w:pPr>
                              <w:r w:rsidRPr="008743DD">
                                <w:rPr>
                                  <w:rFonts w:ascii="Calibri" w:hAnsi="Calibri" w:cs="Calibri"/>
                                  <w:color w:val="000000" w:themeColor="text1"/>
                                  <w:sz w:val="18"/>
                                  <w:szCs w:val="18"/>
                                </w:rPr>
                                <w:t>Studies not available for free (n=152)</w:t>
                              </w:r>
                            </w:p>
                            <w:p w14:paraId="74E366C2" w14:textId="77777777" w:rsidR="008743DD" w:rsidRPr="007624C3" w:rsidRDefault="008743DD" w:rsidP="008743DD">
                              <w:pPr>
                                <w:rPr>
                                  <w:rFonts w:ascii="Calibri" w:hAnsi="Calibri" w:cs="Calibr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8"/>
                        <wps:cNvSpPr/>
                        <wps:spPr>
                          <a:xfrm>
                            <a:off x="497224" y="3833165"/>
                            <a:ext cx="181358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A16A3"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 xml:space="preserve">Studies evaluated in full </w:t>
                              </w:r>
                            </w:p>
                            <w:p w14:paraId="79735649"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(n =115)</w:t>
                              </w:r>
                            </w:p>
                            <w:p w14:paraId="58C21E03" w14:textId="77777777" w:rsidR="008743DD" w:rsidRPr="007624C3" w:rsidRDefault="008743DD" w:rsidP="008743DD">
                              <w:pPr>
                                <w:spacing w:after="0" w:line="240" w:lineRule="auto"/>
                                <w:rPr>
                                  <w:rFonts w:ascii="Calibri" w:hAnsi="Calibri" w:cs="Calibri"/>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9"/>
                        <wps:cNvSpPr/>
                        <wps:spPr>
                          <a:xfrm>
                            <a:off x="2896610" y="3730752"/>
                            <a:ext cx="1725295" cy="631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63DB8" w14:textId="77777777" w:rsidR="008743DD" w:rsidRPr="008743DD" w:rsidRDefault="008743DD" w:rsidP="008743DD">
                              <w:pPr>
                                <w:rPr>
                                  <w:rFonts w:ascii="Calibri" w:hAnsi="Calibri" w:cs="Calibri"/>
                                  <w:color w:val="000000" w:themeColor="text1"/>
                                  <w:sz w:val="18"/>
                                  <w:szCs w:val="18"/>
                                </w:rPr>
                              </w:pPr>
                              <w:r w:rsidRPr="008743DD">
                                <w:rPr>
                                  <w:rFonts w:ascii="Calibri" w:hAnsi="Calibri" w:cs="Calibri"/>
                                  <w:color w:val="000000" w:themeColor="text1"/>
                                  <w:sz w:val="18"/>
                                  <w:szCs w:val="18"/>
                                </w:rPr>
                                <w:t xml:space="preserve">Studies excluded for not meeting the inclusion criteria </w:t>
                              </w:r>
                              <w:r>
                                <w:rPr>
                                  <w:rFonts w:ascii="Calibri" w:hAnsi="Calibri" w:cs="Calibri"/>
                                  <w:color w:val="000000" w:themeColor="text1"/>
                                  <w:sz w:val="18"/>
                                  <w:szCs w:val="18"/>
                                </w:rPr>
                                <w:br/>
                              </w:r>
                              <w:r w:rsidRPr="008743DD">
                                <w:rPr>
                                  <w:rFonts w:ascii="Calibri" w:hAnsi="Calibri" w:cs="Calibri"/>
                                  <w:color w:val="000000" w:themeColor="text1"/>
                                  <w:sz w:val="18"/>
                                  <w:szCs w:val="18"/>
                                </w:rPr>
                                <w:t>(n = 94)</w:t>
                              </w:r>
                            </w:p>
                            <w:p w14:paraId="4C7A9382" w14:textId="77777777" w:rsidR="008743DD" w:rsidRPr="007624C3" w:rsidRDefault="008743DD" w:rsidP="008743DD">
                              <w:pPr>
                                <w:rPr>
                                  <w:rFonts w:ascii="Calibri" w:hAnsi="Calibri" w:cs="Calibri"/>
                                </w:rPr>
                              </w:pPr>
                            </w:p>
                            <w:p w14:paraId="1579D000" w14:textId="77777777" w:rsidR="008743DD" w:rsidRPr="007624C3" w:rsidRDefault="008743DD" w:rsidP="008743DD">
                              <w:pPr>
                                <w:rPr>
                                  <w:rFonts w:ascii="Calibri" w:hAnsi="Calibri" w:cs="Calibri"/>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97224" y="4564685"/>
                            <a:ext cx="1813560" cy="438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D4772"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Studies included in the review</w:t>
                              </w:r>
                            </w:p>
                            <w:p w14:paraId="4D1ACA23"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(n =21)</w:t>
                              </w:r>
                            </w:p>
                            <w:p w14:paraId="17C985F2" w14:textId="77777777" w:rsidR="008743DD" w:rsidRPr="007624C3" w:rsidRDefault="008743DD" w:rsidP="008743DD">
                              <w:pPr>
                                <w:rPr>
                                  <w:rFonts w:ascii="Calibri" w:hAnsi="Calibri" w:cs="Calibri"/>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369915" y="1180795"/>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15"/>
                        <wps:cNvCnPr/>
                        <wps:spPr>
                          <a:xfrm>
                            <a:off x="2347970" y="2490216"/>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26024" y="3287573"/>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311394" y="4048354"/>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Flowchart: Alternate Process 29"/>
                        <wps:cNvSpPr/>
                        <wps:spPr>
                          <a:xfrm>
                            <a:off x="497224" y="0"/>
                            <a:ext cx="4162349" cy="262966"/>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924579A" w14:textId="77777777" w:rsidR="008743DD" w:rsidRPr="007624C3" w:rsidRDefault="008743DD" w:rsidP="008743DD">
                              <w:pPr>
                                <w:jc w:val="center"/>
                                <w:rPr>
                                  <w:rFonts w:ascii="Calibri" w:hAnsi="Calibri" w:cs="Calibri"/>
                                  <w:b/>
                                  <w:color w:val="000000" w:themeColor="text1"/>
                                  <w:sz w:val="18"/>
                                  <w:szCs w:val="18"/>
                                </w:rPr>
                              </w:pPr>
                              <w:r w:rsidRPr="00E950E8">
                                <w:rPr>
                                  <w:rFonts w:ascii="Calibri" w:hAnsi="Calibri" w:cs="Calibri"/>
                                  <w:b/>
                                  <w:color w:val="000000" w:themeColor="text1"/>
                                  <w:sz w:val="18"/>
                                  <w:szCs w:val="18"/>
                                </w:rPr>
                                <w:t>Identification of studies through databases and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rot="16200000">
                            <a:off x="-628047" y="1083920"/>
                            <a:ext cx="1525613"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2417BBE" w14:textId="77777777" w:rsidR="008743DD" w:rsidRPr="00E53AD5" w:rsidRDefault="008743DD" w:rsidP="008743DD">
                              <w:pPr>
                                <w:jc w:val="center"/>
                                <w:rPr>
                                  <w:rFonts w:ascii="Calibri" w:hAnsi="Calibri" w:cs="Calibri"/>
                                  <w:b/>
                                  <w:color w:val="000000" w:themeColor="text1"/>
                                  <w:sz w:val="18"/>
                                  <w:szCs w:val="18"/>
                                </w:rPr>
                              </w:pPr>
                              <w:r>
                                <w:rPr>
                                  <w:rFonts w:ascii="Calibri" w:hAnsi="Calibri" w:cs="Calibri"/>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rot="16200000">
                            <a:off x="-882491" y="3111818"/>
                            <a:ext cx="2042134"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5352F31" w14:textId="77777777" w:rsidR="008743DD" w:rsidRPr="00E53AD5" w:rsidRDefault="008743DD" w:rsidP="008743DD">
                              <w:pPr>
                                <w:jc w:val="center"/>
                                <w:rPr>
                                  <w:rFonts w:ascii="Calibri" w:hAnsi="Calibri" w:cs="Calibri"/>
                                  <w:b/>
                                  <w:color w:val="000000" w:themeColor="text1"/>
                                  <w:sz w:val="18"/>
                                  <w:szCs w:val="18"/>
                                </w:rPr>
                              </w:pPr>
                              <w:r>
                                <w:rPr>
                                  <w:rFonts w:ascii="Calibri" w:hAnsi="Calibri" w:cs="Calibri"/>
                                  <w:b/>
                                  <w:color w:val="000000" w:themeColor="text1"/>
                                  <w:sz w:val="18"/>
                                  <w:szCs w:val="18"/>
                                </w:rPr>
                                <w:t>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Alternate Process 33"/>
                        <wps:cNvSpPr/>
                        <wps:spPr>
                          <a:xfrm rot="16200000">
                            <a:off x="-212166" y="4622973"/>
                            <a:ext cx="687221"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4605EB6" w14:textId="77777777" w:rsidR="008743DD" w:rsidRPr="00E53AD5" w:rsidRDefault="008743DD" w:rsidP="008743DD">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Inclus</w:t>
                              </w:r>
                              <w:r>
                                <w:rPr>
                                  <w:rFonts w:ascii="Calibri" w:hAnsi="Calibri" w:cs="Calibri"/>
                                  <w:b/>
                                  <w:color w:val="000000" w:themeColor="text1"/>
                                  <w:sz w:val="18"/>
                                  <w:szCs w:val="18"/>
                                </w:rPr>
                                <w: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392726" y="2757831"/>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392726" y="4257447"/>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6"/>
                        <wps:cNvCnPr/>
                        <wps:spPr>
                          <a:xfrm>
                            <a:off x="1407357" y="3518611"/>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36"/>
                        <wps:cNvCnPr/>
                        <wps:spPr>
                          <a:xfrm>
                            <a:off x="1400042" y="1960474"/>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2B77BE" id="Agrupar 38" o:spid="_x0000_s1026" style="position:absolute;left:0;text-align:left;margin-left:0;margin-top:17.85pt;width:366.8pt;height:401.4pt;z-index:251659264;mso-position-horizontal:center;mso-width-relative:margin;mso-height-relative:margin" coordsize="46595,5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">
                <v:rect id="Rectangle 1" o:spid="_x0000_s1027" style="position:absolute;left:4606;top:4608;width:19050;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288F9D9F"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Studies identified (n=1435)</w:t>
                        </w:r>
                      </w:p>
                      <w:p w14:paraId="289EB39B"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 xml:space="preserve">Databases: ASSIA (n=10); BDTD (n=06); BVS (n= 45); CINAHL (n = 86)Academic Search Premier (n = 36) SocINDEXwith FullText (n=02); </w:t>
                        </w:r>
                      </w:p>
                      <w:p w14:paraId="6B5D08CA" w14:textId="77777777" w:rsidR="008743DD" w:rsidRPr="00E950E8" w:rsidRDefault="008743DD" w:rsidP="008743DD">
                        <w:pPr>
                          <w:spacing w:after="0" w:line="240" w:lineRule="auto"/>
                          <w:rPr>
                            <w:rFonts w:ascii="Calibri" w:hAnsi="Calibri" w:cs="Calibri"/>
                            <w:color w:val="000000" w:themeColor="text1"/>
                            <w:sz w:val="18"/>
                            <w:szCs w:val="18"/>
                            <w:lang w:val="pt-BR"/>
                          </w:rPr>
                        </w:pPr>
                        <w:r w:rsidRPr="00E950E8">
                          <w:rPr>
                            <w:rFonts w:ascii="Calibri" w:hAnsi="Calibri" w:cs="Calibri"/>
                            <w:color w:val="000000" w:themeColor="text1"/>
                            <w:sz w:val="18"/>
                            <w:szCs w:val="18"/>
                            <w:lang w:val="pt-BR"/>
                          </w:rPr>
                          <w:t>Embase (n=139); Medline/PubMed (n=465); PsycINFO (n=06); Scielo (n=01);</w:t>
                        </w:r>
                      </w:p>
                      <w:p w14:paraId="6B271229" w14:textId="77777777" w:rsidR="008743DD" w:rsidRPr="00E950E8" w:rsidRDefault="008743DD" w:rsidP="008743DD">
                        <w:pPr>
                          <w:spacing w:after="0" w:line="240" w:lineRule="auto"/>
                          <w:rPr>
                            <w:rFonts w:ascii="Calibri" w:hAnsi="Calibri" w:cs="Calibri"/>
                            <w:color w:val="000000" w:themeColor="text1"/>
                            <w:sz w:val="18"/>
                            <w:szCs w:val="18"/>
                            <w:lang w:val="pt-BR"/>
                          </w:rPr>
                        </w:pPr>
                        <w:r w:rsidRPr="00E950E8">
                          <w:rPr>
                            <w:rFonts w:ascii="Calibri" w:hAnsi="Calibri" w:cs="Calibri"/>
                            <w:color w:val="000000" w:themeColor="text1"/>
                            <w:sz w:val="18"/>
                            <w:szCs w:val="18"/>
                            <w:lang w:val="pt-BR"/>
                          </w:rPr>
                          <w:t xml:space="preserve">Science.Gov (n=96); Scopus (n=538); </w:t>
                        </w:r>
                      </w:p>
                      <w:p w14:paraId="54F09492" w14:textId="77777777" w:rsidR="008743DD" w:rsidRPr="00E950E8"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Web of Science (n=29)</w:t>
                        </w:r>
                      </w:p>
                      <w:p w14:paraId="2C80919D" w14:textId="77777777" w:rsidR="008743DD" w:rsidRPr="00E53AD5" w:rsidRDefault="008743DD" w:rsidP="008743DD">
                        <w:pPr>
                          <w:spacing w:after="0" w:line="240" w:lineRule="auto"/>
                          <w:rPr>
                            <w:rFonts w:ascii="Calibri" w:hAnsi="Calibri" w:cs="Calibri"/>
                            <w:color w:val="000000" w:themeColor="text1"/>
                            <w:sz w:val="18"/>
                            <w:szCs w:val="18"/>
                            <w:lang w:val="pt-BR"/>
                          </w:rPr>
                        </w:pPr>
                      </w:p>
                    </w:txbxContent>
                  </v:textbox>
                </v:rect>
                <v:rect id="Rectangle 2" o:spid="_x0000_s1028" style="position:absolute;left:29405;top:9217;width:1704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5B5EEF14" w14:textId="77777777" w:rsidR="008743DD" w:rsidRPr="00E950E8" w:rsidRDefault="008743DD" w:rsidP="008743DD">
                        <w:pPr>
                          <w:spacing w:after="0" w:line="240" w:lineRule="auto"/>
                          <w:rPr>
                            <w:rFonts w:ascii="Calibri" w:hAnsi="Calibri" w:cs="Calibri"/>
                            <w:color w:val="000000" w:themeColor="text1"/>
                            <w:sz w:val="18"/>
                            <w:szCs w:val="18"/>
                          </w:rPr>
                        </w:pPr>
                        <w:r w:rsidRPr="00E950E8">
                          <w:rPr>
                            <w:rFonts w:ascii="Calibri" w:hAnsi="Calibri" w:cs="Calibri"/>
                            <w:color w:val="000000" w:themeColor="text1"/>
                            <w:sz w:val="18"/>
                            <w:szCs w:val="18"/>
                          </w:rPr>
                          <w:t>Studies removed before screening:</w:t>
                        </w:r>
                        <w:r>
                          <w:rPr>
                            <w:rFonts w:ascii="Calibri" w:hAnsi="Calibri" w:cs="Calibri"/>
                            <w:color w:val="000000" w:themeColor="text1"/>
                            <w:sz w:val="18"/>
                            <w:szCs w:val="18"/>
                          </w:rPr>
                          <w:t xml:space="preserve"> </w:t>
                        </w:r>
                        <w:r w:rsidRPr="00E950E8">
                          <w:rPr>
                            <w:rFonts w:ascii="Calibri" w:hAnsi="Calibri" w:cs="Calibri"/>
                            <w:color w:val="000000" w:themeColor="text1"/>
                            <w:sz w:val="18"/>
                            <w:szCs w:val="18"/>
                          </w:rPr>
                          <w:t>Duplicate studies removed</w:t>
                        </w:r>
                        <w:r>
                          <w:rPr>
                            <w:rFonts w:ascii="Calibri" w:hAnsi="Calibri" w:cs="Calibri"/>
                            <w:color w:val="000000" w:themeColor="text1"/>
                            <w:sz w:val="18"/>
                            <w:szCs w:val="18"/>
                          </w:rPr>
                          <w:t xml:space="preserve"> </w:t>
                        </w:r>
                        <w:r w:rsidRPr="00E950E8">
                          <w:rPr>
                            <w:rFonts w:ascii="Calibri" w:hAnsi="Calibri" w:cs="Calibri"/>
                            <w:color w:val="000000" w:themeColor="text1"/>
                            <w:sz w:val="18"/>
                            <w:szCs w:val="18"/>
                          </w:rPr>
                          <w:t>(n =716)</w:t>
                        </w:r>
                      </w:p>
                      <w:p w14:paraId="6406B133" w14:textId="77777777" w:rsidR="008743DD" w:rsidRPr="007624C3" w:rsidRDefault="008743DD" w:rsidP="008743DD">
                        <w:pPr>
                          <w:rPr>
                            <w:rFonts w:ascii="Calibri" w:hAnsi="Calibri" w:cs="Calibri"/>
                            <w:color w:val="000000" w:themeColor="text1"/>
                            <w:sz w:val="18"/>
                            <w:szCs w:val="18"/>
                          </w:rPr>
                        </w:pPr>
                        <w:r w:rsidRPr="007624C3">
                          <w:rPr>
                            <w:rFonts w:ascii="Calibri" w:hAnsi="Calibri" w:cs="Calibri"/>
                            <w:color w:val="000000" w:themeColor="text1"/>
                            <w:sz w:val="18"/>
                            <w:szCs w:val="18"/>
                          </w:rPr>
                          <w:t xml:space="preserve"> </w:t>
                        </w:r>
                      </w:p>
                    </w:txbxContent>
                  </v:textbox>
                </v:rect>
                <v:rect id="Rectangle 3" o:spid="_x0000_s1029" style="position:absolute;left:4533;top:22530;width:18955;height: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6FC8D0AF" w14:textId="77777777" w:rsidR="008743DD" w:rsidRPr="007624C3"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 xml:space="preserve">Studies with title and abstract evaluation (719) </w:t>
                        </w:r>
                      </w:p>
                    </w:txbxContent>
                  </v:textbox>
                </v:rect>
                <v:rect id="Rectangle 4" o:spid="_x0000_s1030" style="position:absolute;left:29112;top:21872;width:17107;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05FABDA4" w14:textId="77777777" w:rsidR="008743DD" w:rsidRPr="00E950E8" w:rsidRDefault="008743DD" w:rsidP="008743DD">
                        <w:pPr>
                          <w:rPr>
                            <w:rFonts w:ascii="Calibri" w:hAnsi="Calibri" w:cs="Calibri"/>
                            <w:color w:val="000000" w:themeColor="text1"/>
                            <w:sz w:val="18"/>
                            <w:szCs w:val="18"/>
                          </w:rPr>
                        </w:pPr>
                        <w:r w:rsidRPr="00E950E8">
                          <w:rPr>
                            <w:rFonts w:ascii="Calibri" w:hAnsi="Calibri" w:cs="Calibri"/>
                            <w:color w:val="000000" w:themeColor="text1"/>
                            <w:sz w:val="18"/>
                            <w:szCs w:val="18"/>
                          </w:rPr>
                          <w:t xml:space="preserve">Studies excluded for not meeting the inclusion criteria </w:t>
                        </w:r>
                        <w:r>
                          <w:rPr>
                            <w:rFonts w:ascii="Calibri" w:hAnsi="Calibri" w:cs="Calibri"/>
                            <w:color w:val="000000" w:themeColor="text1"/>
                            <w:sz w:val="18"/>
                            <w:szCs w:val="18"/>
                          </w:rPr>
                          <w:br/>
                        </w:r>
                        <w:r w:rsidRPr="00E950E8">
                          <w:rPr>
                            <w:rFonts w:ascii="Calibri" w:hAnsi="Calibri" w:cs="Calibri"/>
                            <w:color w:val="000000" w:themeColor="text1"/>
                            <w:sz w:val="18"/>
                            <w:szCs w:val="18"/>
                          </w:rPr>
                          <w:t>(n = 452)</w:t>
                        </w:r>
                      </w:p>
                      <w:p w14:paraId="7F49FDFD" w14:textId="77777777" w:rsidR="008743DD" w:rsidRPr="007624C3" w:rsidRDefault="008743DD" w:rsidP="008743DD">
                        <w:pPr>
                          <w:rPr>
                            <w:rFonts w:asciiTheme="minorHAnsi" w:hAnsiTheme="minorHAnsi" w:cstheme="minorHAnsi"/>
                          </w:rPr>
                        </w:pPr>
                      </w:p>
                    </w:txbxContent>
                  </v:textbox>
                </v:rect>
                <v:rect id="Rectangle 5" o:spid="_x0000_s1031" style="position:absolute;left:4899;top:30577;width:18364;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54A1C2B4" w14:textId="77777777" w:rsidR="008743DD" w:rsidRPr="00E950E8" w:rsidRDefault="008743DD" w:rsidP="008743DD">
                        <w:pPr>
                          <w:rPr>
                            <w:rFonts w:ascii="Calibri" w:hAnsi="Calibri" w:cs="Calibri"/>
                            <w:color w:val="000000" w:themeColor="text1"/>
                            <w:sz w:val="18"/>
                            <w:szCs w:val="20"/>
                          </w:rPr>
                        </w:pPr>
                        <w:r w:rsidRPr="00E950E8">
                          <w:rPr>
                            <w:rFonts w:ascii="Calibri" w:hAnsi="Calibri" w:cs="Calibri"/>
                            <w:color w:val="000000" w:themeColor="text1"/>
                            <w:sz w:val="18"/>
                            <w:szCs w:val="20"/>
                          </w:rPr>
                          <w:t>Studies selected for reading the title, abstract and full text (n =267)</w:t>
                        </w:r>
                      </w:p>
                      <w:p w14:paraId="5CB74D87" w14:textId="77777777" w:rsidR="008743DD" w:rsidRPr="007624C3" w:rsidRDefault="008743DD" w:rsidP="008743DD">
                        <w:pPr>
                          <w:rPr>
                            <w:rFonts w:ascii="Calibri" w:hAnsi="Calibri" w:cs="Calibri"/>
                            <w:color w:val="000000" w:themeColor="text1"/>
                            <w:spacing w:val="-2"/>
                            <w:sz w:val="18"/>
                            <w:szCs w:val="20"/>
                          </w:rPr>
                        </w:pPr>
                      </w:p>
                    </w:txbxContent>
                  </v:textbox>
                </v:rect>
                <v:rect id="Rectangle 6" o:spid="_x0000_s1032" style="position:absolute;left:29039;top:30504;width:17180;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7F262196" w14:textId="77777777" w:rsidR="008743DD" w:rsidRPr="008743DD" w:rsidRDefault="008743DD" w:rsidP="008743DD">
                        <w:pPr>
                          <w:rPr>
                            <w:rFonts w:ascii="Calibri" w:hAnsi="Calibri" w:cs="Calibri"/>
                            <w:color w:val="000000" w:themeColor="text1"/>
                            <w:sz w:val="18"/>
                            <w:szCs w:val="18"/>
                          </w:rPr>
                        </w:pPr>
                        <w:r w:rsidRPr="008743DD">
                          <w:rPr>
                            <w:rFonts w:ascii="Calibri" w:hAnsi="Calibri" w:cs="Calibri"/>
                            <w:color w:val="000000" w:themeColor="text1"/>
                            <w:sz w:val="18"/>
                            <w:szCs w:val="18"/>
                          </w:rPr>
                          <w:t>Studies not available for free (n=152)</w:t>
                        </w:r>
                      </w:p>
                      <w:p w14:paraId="74E366C2" w14:textId="77777777" w:rsidR="008743DD" w:rsidRPr="007624C3" w:rsidRDefault="008743DD" w:rsidP="008743DD">
                        <w:pPr>
                          <w:rPr>
                            <w:rFonts w:ascii="Calibri" w:hAnsi="Calibri" w:cs="Calibri"/>
                            <w:color w:val="000000" w:themeColor="text1"/>
                            <w:sz w:val="18"/>
                            <w:szCs w:val="18"/>
                          </w:rPr>
                        </w:pPr>
                      </w:p>
                    </w:txbxContent>
                  </v:textbox>
                </v:rect>
                <v:rect id="Rectangle 8" o:spid="_x0000_s1033" style="position:absolute;left:4972;top:38331;width:18136;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52EA16A3"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 xml:space="preserve">Studies evaluated in full </w:t>
                        </w:r>
                      </w:p>
                      <w:p w14:paraId="79735649"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(n =115)</w:t>
                        </w:r>
                      </w:p>
                      <w:p w14:paraId="58C21E03" w14:textId="77777777" w:rsidR="008743DD" w:rsidRPr="007624C3" w:rsidRDefault="008743DD" w:rsidP="008743DD">
                        <w:pPr>
                          <w:spacing w:after="0" w:line="240" w:lineRule="auto"/>
                          <w:rPr>
                            <w:rFonts w:ascii="Calibri" w:hAnsi="Calibri" w:cs="Calibri"/>
                            <w:color w:val="000000" w:themeColor="text1"/>
                            <w:sz w:val="18"/>
                            <w:szCs w:val="20"/>
                          </w:rPr>
                        </w:pPr>
                      </w:p>
                    </w:txbxContent>
                  </v:textbox>
                </v:rect>
                <v:rect id="Rectangle 9" o:spid="_x0000_s1034" style="position:absolute;left:28966;top:37307;width:17253;height:6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2A063DB8" w14:textId="77777777" w:rsidR="008743DD" w:rsidRPr="008743DD" w:rsidRDefault="008743DD" w:rsidP="008743DD">
                        <w:pPr>
                          <w:rPr>
                            <w:rFonts w:ascii="Calibri" w:hAnsi="Calibri" w:cs="Calibri"/>
                            <w:color w:val="000000" w:themeColor="text1"/>
                            <w:sz w:val="18"/>
                            <w:szCs w:val="18"/>
                          </w:rPr>
                        </w:pPr>
                        <w:r w:rsidRPr="008743DD">
                          <w:rPr>
                            <w:rFonts w:ascii="Calibri" w:hAnsi="Calibri" w:cs="Calibri"/>
                            <w:color w:val="000000" w:themeColor="text1"/>
                            <w:sz w:val="18"/>
                            <w:szCs w:val="18"/>
                          </w:rPr>
                          <w:t xml:space="preserve">Studies excluded for not meeting the inclusion criteria </w:t>
                        </w:r>
                        <w:r>
                          <w:rPr>
                            <w:rFonts w:ascii="Calibri" w:hAnsi="Calibri" w:cs="Calibri"/>
                            <w:color w:val="000000" w:themeColor="text1"/>
                            <w:sz w:val="18"/>
                            <w:szCs w:val="18"/>
                          </w:rPr>
                          <w:br/>
                        </w:r>
                        <w:r w:rsidRPr="008743DD">
                          <w:rPr>
                            <w:rFonts w:ascii="Calibri" w:hAnsi="Calibri" w:cs="Calibri"/>
                            <w:color w:val="000000" w:themeColor="text1"/>
                            <w:sz w:val="18"/>
                            <w:szCs w:val="18"/>
                          </w:rPr>
                          <w:t>(n = 94)</w:t>
                        </w:r>
                      </w:p>
                      <w:p w14:paraId="4C7A9382" w14:textId="77777777" w:rsidR="008743DD" w:rsidRPr="007624C3" w:rsidRDefault="008743DD" w:rsidP="008743DD">
                        <w:pPr>
                          <w:rPr>
                            <w:rFonts w:ascii="Calibri" w:hAnsi="Calibri" w:cs="Calibri"/>
                          </w:rPr>
                        </w:pPr>
                      </w:p>
                      <w:p w14:paraId="1579D000" w14:textId="77777777" w:rsidR="008743DD" w:rsidRPr="007624C3" w:rsidRDefault="008743DD" w:rsidP="008743DD">
                        <w:pPr>
                          <w:rPr>
                            <w:rFonts w:ascii="Calibri" w:hAnsi="Calibri" w:cs="Calibri"/>
                            <w:color w:val="000000" w:themeColor="text1"/>
                            <w:sz w:val="18"/>
                            <w:szCs w:val="20"/>
                          </w:rPr>
                        </w:pPr>
                      </w:p>
                    </w:txbxContent>
                  </v:textbox>
                </v:rect>
                <v:rect id="Rectangle 13" o:spid="_x0000_s1035" style="position:absolute;left:4972;top:45646;width:18135;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D2D4772"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Studies included in the review</w:t>
                        </w:r>
                      </w:p>
                      <w:p w14:paraId="4D1ACA23" w14:textId="77777777" w:rsidR="008743DD" w:rsidRPr="007624C3" w:rsidRDefault="008743DD" w:rsidP="008743DD">
                        <w:pPr>
                          <w:spacing w:after="0" w:line="240" w:lineRule="auto"/>
                          <w:rPr>
                            <w:rFonts w:ascii="Calibri" w:hAnsi="Calibri" w:cs="Calibri"/>
                            <w:color w:val="000000" w:themeColor="text1"/>
                            <w:sz w:val="18"/>
                            <w:szCs w:val="20"/>
                          </w:rPr>
                        </w:pPr>
                        <w:r w:rsidRPr="007624C3">
                          <w:rPr>
                            <w:rFonts w:ascii="Calibri" w:hAnsi="Calibri" w:cs="Calibri"/>
                            <w:color w:val="000000" w:themeColor="text1"/>
                            <w:sz w:val="18"/>
                            <w:szCs w:val="20"/>
                          </w:rPr>
                          <w:t>(n =21)</w:t>
                        </w:r>
                      </w:p>
                      <w:p w14:paraId="17C985F2" w14:textId="77777777" w:rsidR="008743DD" w:rsidRPr="007624C3" w:rsidRDefault="008743DD" w:rsidP="008743DD">
                        <w:pPr>
                          <w:rPr>
                            <w:rFonts w:ascii="Calibri" w:hAnsi="Calibri" w:cs="Calibri"/>
                            <w:color w:val="000000" w:themeColor="text1"/>
                            <w:sz w:val="18"/>
                            <w:szCs w:val="20"/>
                          </w:rPr>
                        </w:pPr>
                      </w:p>
                    </w:txbxContent>
                  </v:textbox>
                </v:rect>
                <v:shapetype id="_x0000_t32" coordsize="21600,21600" o:spt="32" o:oned="t" path="m,l21600,21600e" filled="f">
                  <v:path arrowok="t" fillok="f" o:connecttype="none"/>
                  <o:lock v:ext="edit" shapetype="t"/>
                </v:shapetype>
                <v:shape id="Straight Arrow Connector 14" o:spid="_x0000_s1036" type="#_x0000_t32" style="position:absolute;left:23699;top:11807;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Straight Arrow Connector 15" o:spid="_x0000_s1037" type="#_x0000_t32" style="position:absolute;left:23479;top:24902;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Straight Arrow Connector 16" o:spid="_x0000_s1038" type="#_x0000_t32" style="position:absolute;left:23260;top:32875;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39" type="#_x0000_t32" style="position:absolute;left:23113;top:40483;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40" type="#_x0000_t176" style="position:absolute;left:4972;width:4162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" fillcolor="#d8d8d8 [2732]" strokecolor="black [3213]" strokeweight="1pt">
                  <v:textbox>
                    <w:txbxContent>
                      <w:p w14:paraId="2924579A" w14:textId="77777777" w:rsidR="008743DD" w:rsidRPr="007624C3" w:rsidRDefault="008743DD" w:rsidP="008743DD">
                        <w:pPr>
                          <w:jc w:val="center"/>
                          <w:rPr>
                            <w:rFonts w:ascii="Calibri" w:hAnsi="Calibri" w:cs="Calibri"/>
                            <w:b/>
                            <w:color w:val="000000" w:themeColor="text1"/>
                            <w:sz w:val="18"/>
                            <w:szCs w:val="18"/>
                          </w:rPr>
                        </w:pPr>
                        <w:r w:rsidRPr="00E950E8">
                          <w:rPr>
                            <w:rFonts w:ascii="Calibri" w:hAnsi="Calibri" w:cs="Calibri"/>
                            <w:b/>
                            <w:color w:val="000000" w:themeColor="text1"/>
                            <w:sz w:val="18"/>
                            <w:szCs w:val="18"/>
                          </w:rPr>
                          <w:t>Identification of studies through databases and records</w:t>
                        </w:r>
                      </w:p>
                    </w:txbxContent>
                  </v:textbox>
                </v:shape>
                <v:shape id="Flowchart: Alternate Process 31" o:spid="_x0000_s1041" type="#_x0000_t176" style="position:absolute;left:-6280;top:10838;width:15256;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" fillcolor="#d8d8d8 [2732]" strokecolor="black [3213]" strokeweight="1pt">
                  <v:textbox>
                    <w:txbxContent>
                      <w:p w14:paraId="72417BBE" w14:textId="77777777" w:rsidR="008743DD" w:rsidRPr="00E53AD5" w:rsidRDefault="008743DD" w:rsidP="008743DD">
                        <w:pPr>
                          <w:jc w:val="center"/>
                          <w:rPr>
                            <w:rFonts w:ascii="Calibri" w:hAnsi="Calibri" w:cs="Calibri"/>
                            <w:b/>
                            <w:color w:val="000000" w:themeColor="text1"/>
                            <w:sz w:val="18"/>
                            <w:szCs w:val="18"/>
                          </w:rPr>
                        </w:pPr>
                        <w:r>
                          <w:rPr>
                            <w:rFonts w:ascii="Calibri" w:hAnsi="Calibri" w:cs="Calibri"/>
                            <w:b/>
                            <w:color w:val="000000" w:themeColor="text1"/>
                            <w:sz w:val="18"/>
                            <w:szCs w:val="18"/>
                          </w:rPr>
                          <w:t>Identification</w:t>
                        </w:r>
                      </w:p>
                    </w:txbxContent>
                  </v:textbox>
                </v:shape>
                <v:shape id="Flowchart: Alternate Process 32" o:spid="_x0000_s1042" type="#_x0000_t176" style="position:absolute;left:-8825;top:31117;width:20422;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" fillcolor="#d8d8d8 [2732]" strokecolor="black [3213]" strokeweight="1pt">
                  <v:textbox>
                    <w:txbxContent>
                      <w:p w14:paraId="55352F31" w14:textId="77777777" w:rsidR="008743DD" w:rsidRPr="00E53AD5" w:rsidRDefault="008743DD" w:rsidP="008743DD">
                        <w:pPr>
                          <w:jc w:val="center"/>
                          <w:rPr>
                            <w:rFonts w:ascii="Calibri" w:hAnsi="Calibri" w:cs="Calibri"/>
                            <w:b/>
                            <w:color w:val="000000" w:themeColor="text1"/>
                            <w:sz w:val="18"/>
                            <w:szCs w:val="18"/>
                          </w:rPr>
                        </w:pPr>
                        <w:r>
                          <w:rPr>
                            <w:rFonts w:ascii="Calibri" w:hAnsi="Calibri" w:cs="Calibri"/>
                            <w:b/>
                            <w:color w:val="000000" w:themeColor="text1"/>
                            <w:sz w:val="18"/>
                            <w:szCs w:val="18"/>
                          </w:rPr>
                          <w:t>Selection</w:t>
                        </w:r>
                      </w:p>
                    </w:txbxContent>
                  </v:textbox>
                </v:shape>
                <v:shape id="Flowchart: Alternate Process 33" o:spid="_x0000_s1043" type="#_x0000_t176" style="position:absolute;left:-2122;top:46230;width:6872;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" fillcolor="#d8d8d8 [2732]" strokecolor="black [3213]" strokeweight="1pt">
                  <v:textbox>
                    <w:txbxContent>
                      <w:p w14:paraId="74605EB6" w14:textId="77777777" w:rsidR="008743DD" w:rsidRPr="00E53AD5" w:rsidRDefault="008743DD" w:rsidP="008743DD">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Inclus</w:t>
                        </w:r>
                        <w:r>
                          <w:rPr>
                            <w:rFonts w:ascii="Calibri" w:hAnsi="Calibri" w:cs="Calibri"/>
                            <w:b/>
                            <w:color w:val="000000" w:themeColor="text1"/>
                            <w:sz w:val="18"/>
                            <w:szCs w:val="18"/>
                          </w:rPr>
                          <w:t>ion</w:t>
                        </w:r>
                      </w:p>
                    </w:txbxContent>
                  </v:textbox>
                </v:shape>
                <v:shape id="Straight Arrow Connector 35" o:spid="_x0000_s1044" type="#_x0000_t32" style="position:absolute;left:13927;top:27578;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Straight Arrow Connector 36" o:spid="_x0000_s1045" type="#_x0000_t32" style="position:absolute;left:13927;top:42574;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36" o:spid="_x0000_s1046" type="#_x0000_t32" style="position:absolute;left:14073;top:35186;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Straight Arrow Connector 36" o:spid="_x0000_s1047" type="#_x0000_t32" style="position:absolute;left:14000;top:19604;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w10:wrap type="topAndBottom"/>
              </v:group>
            </w:pict>
          </mc:Fallback>
        </mc:AlternateContent>
      </w:r>
    </w:p>
    <w:p w14:paraId="0338DA03" w14:textId="77777777" w:rsidR="00A631CB" w:rsidRPr="008B3FCD" w:rsidRDefault="00A631CB" w:rsidP="00A631CB">
      <w:pPr>
        <w:spacing w:after="0" w:line="240" w:lineRule="auto"/>
        <w:ind w:left="1134" w:right="1134"/>
        <w:jc w:val="both"/>
        <w:rPr>
          <w:rFonts w:ascii="Calibri" w:eastAsia="Calibri" w:hAnsi="Calibri" w:cs="Calibri"/>
          <w:color w:val="000000" w:themeColor="text1"/>
          <w:sz w:val="16"/>
          <w:szCs w:val="20"/>
        </w:rPr>
      </w:pPr>
      <w:r w:rsidRPr="008B3FCD">
        <w:rPr>
          <w:rFonts w:ascii="Calibri" w:eastAsia="Calibri" w:hAnsi="Calibri" w:cs="Calibri"/>
          <w:color w:val="000000" w:themeColor="text1"/>
          <w:sz w:val="16"/>
          <w:szCs w:val="20"/>
        </w:rPr>
        <w:t xml:space="preserve">Assia: </w:t>
      </w:r>
      <w:r w:rsidRPr="008B3FCD">
        <w:rPr>
          <w:rFonts w:ascii="Calibri" w:eastAsia="Calibri" w:hAnsi="Calibri" w:cs="Calibri"/>
          <w:i/>
          <w:color w:val="000000" w:themeColor="text1"/>
          <w:sz w:val="16"/>
          <w:szCs w:val="20"/>
        </w:rPr>
        <w:t>Applied Social Sciences Index &amp; Abstracts</w:t>
      </w:r>
      <w:r w:rsidRPr="008B3FCD">
        <w:rPr>
          <w:rFonts w:ascii="Calibri" w:eastAsia="Calibri" w:hAnsi="Calibri" w:cs="Calibri"/>
          <w:color w:val="000000" w:themeColor="text1"/>
          <w:sz w:val="16"/>
          <w:szCs w:val="20"/>
        </w:rPr>
        <w:t xml:space="preserve">; BDTD: </w:t>
      </w:r>
      <w:proofErr w:type="spellStart"/>
      <w:r w:rsidRPr="008B3FCD">
        <w:rPr>
          <w:rFonts w:ascii="Calibri" w:eastAsia="Calibri" w:hAnsi="Calibri" w:cs="Calibri"/>
          <w:color w:val="000000" w:themeColor="text1"/>
          <w:sz w:val="16"/>
          <w:szCs w:val="20"/>
        </w:rPr>
        <w:t>Biblioteca</w:t>
      </w:r>
      <w:proofErr w:type="spellEnd"/>
      <w:r w:rsidRPr="008B3FCD">
        <w:rPr>
          <w:rFonts w:ascii="Calibri" w:eastAsia="Calibri" w:hAnsi="Calibri" w:cs="Calibri"/>
          <w:color w:val="000000" w:themeColor="text1"/>
          <w:sz w:val="16"/>
          <w:szCs w:val="20"/>
        </w:rPr>
        <w:t xml:space="preserve"> Digital Brasileira de </w:t>
      </w:r>
      <w:proofErr w:type="spellStart"/>
      <w:r w:rsidRPr="008B3FCD">
        <w:rPr>
          <w:rFonts w:ascii="Calibri" w:eastAsia="Calibri" w:hAnsi="Calibri" w:cs="Calibri"/>
          <w:color w:val="000000" w:themeColor="text1"/>
          <w:sz w:val="16"/>
          <w:szCs w:val="20"/>
        </w:rPr>
        <w:t>Teses</w:t>
      </w:r>
      <w:proofErr w:type="spellEnd"/>
      <w:r w:rsidRPr="008B3FCD">
        <w:rPr>
          <w:rFonts w:ascii="Calibri" w:eastAsia="Calibri" w:hAnsi="Calibri" w:cs="Calibri"/>
          <w:color w:val="000000" w:themeColor="text1"/>
          <w:sz w:val="16"/>
          <w:szCs w:val="20"/>
        </w:rPr>
        <w:t xml:space="preserve"> e </w:t>
      </w:r>
      <w:proofErr w:type="spellStart"/>
      <w:r w:rsidRPr="008B3FCD">
        <w:rPr>
          <w:rFonts w:ascii="Calibri" w:eastAsia="Calibri" w:hAnsi="Calibri" w:cs="Calibri"/>
          <w:color w:val="000000" w:themeColor="text1"/>
          <w:sz w:val="16"/>
          <w:szCs w:val="20"/>
        </w:rPr>
        <w:t>Dissertações</w:t>
      </w:r>
      <w:proofErr w:type="spellEnd"/>
      <w:r w:rsidRPr="008B3FCD">
        <w:rPr>
          <w:rFonts w:ascii="Calibri" w:eastAsia="Calibri" w:hAnsi="Calibri" w:cs="Calibri"/>
          <w:color w:val="000000" w:themeColor="text1"/>
          <w:sz w:val="16"/>
          <w:szCs w:val="20"/>
        </w:rPr>
        <w:t xml:space="preserve">; BVS: </w:t>
      </w:r>
      <w:proofErr w:type="spellStart"/>
      <w:r w:rsidRPr="008B3FCD">
        <w:rPr>
          <w:rFonts w:ascii="Calibri" w:eastAsia="Calibri" w:hAnsi="Calibri" w:cs="Calibri"/>
          <w:color w:val="000000" w:themeColor="text1"/>
          <w:sz w:val="16"/>
          <w:szCs w:val="20"/>
        </w:rPr>
        <w:t>Biblioteca</w:t>
      </w:r>
      <w:proofErr w:type="spellEnd"/>
      <w:r w:rsidRPr="008B3FCD">
        <w:rPr>
          <w:rFonts w:ascii="Calibri" w:eastAsia="Calibri" w:hAnsi="Calibri" w:cs="Calibri"/>
          <w:color w:val="000000" w:themeColor="text1"/>
          <w:sz w:val="16"/>
          <w:szCs w:val="20"/>
        </w:rPr>
        <w:t xml:space="preserve"> Virtual </w:t>
      </w:r>
      <w:proofErr w:type="spellStart"/>
      <w:r w:rsidRPr="008B3FCD">
        <w:rPr>
          <w:rFonts w:ascii="Calibri" w:eastAsia="Calibri" w:hAnsi="Calibri" w:cs="Calibri"/>
          <w:color w:val="000000" w:themeColor="text1"/>
          <w:sz w:val="16"/>
          <w:szCs w:val="20"/>
        </w:rPr>
        <w:t>em</w:t>
      </w:r>
      <w:proofErr w:type="spellEnd"/>
      <w:r w:rsidRPr="008B3FCD">
        <w:rPr>
          <w:rFonts w:ascii="Calibri" w:eastAsia="Calibri" w:hAnsi="Calibri" w:cs="Calibri"/>
          <w:color w:val="000000" w:themeColor="text1"/>
          <w:sz w:val="16"/>
          <w:szCs w:val="20"/>
        </w:rPr>
        <w:t xml:space="preserve"> </w:t>
      </w:r>
      <w:proofErr w:type="spellStart"/>
      <w:r w:rsidRPr="008B3FCD">
        <w:rPr>
          <w:rFonts w:ascii="Calibri" w:eastAsia="Calibri" w:hAnsi="Calibri" w:cs="Calibri"/>
          <w:color w:val="000000" w:themeColor="text1"/>
          <w:sz w:val="16"/>
          <w:szCs w:val="20"/>
        </w:rPr>
        <w:t>Saúde</w:t>
      </w:r>
      <w:proofErr w:type="spellEnd"/>
      <w:r w:rsidRPr="008B3FCD">
        <w:rPr>
          <w:rFonts w:ascii="Calibri" w:eastAsia="Calibri" w:hAnsi="Calibri" w:cs="Calibri"/>
          <w:color w:val="000000" w:themeColor="text1"/>
          <w:sz w:val="16"/>
          <w:szCs w:val="20"/>
        </w:rPr>
        <w:t xml:space="preserve">; </w:t>
      </w:r>
      <w:proofErr w:type="spellStart"/>
      <w:r w:rsidRPr="008B3FCD">
        <w:rPr>
          <w:rFonts w:ascii="Calibri" w:eastAsia="Calibri" w:hAnsi="Calibri" w:cs="Calibri"/>
          <w:color w:val="000000" w:themeColor="text1"/>
          <w:sz w:val="16"/>
          <w:szCs w:val="20"/>
        </w:rPr>
        <w:t>Cinahl</w:t>
      </w:r>
      <w:proofErr w:type="spellEnd"/>
      <w:r w:rsidRPr="008B3FCD">
        <w:rPr>
          <w:rFonts w:ascii="Calibri" w:eastAsia="Calibri" w:hAnsi="Calibri" w:cs="Calibri"/>
          <w:color w:val="000000" w:themeColor="text1"/>
          <w:sz w:val="16"/>
          <w:szCs w:val="20"/>
        </w:rPr>
        <w:t xml:space="preserve">: </w:t>
      </w:r>
      <w:r w:rsidRPr="008B3FCD">
        <w:rPr>
          <w:rFonts w:ascii="Calibri" w:eastAsia="Calibri" w:hAnsi="Calibri" w:cs="Calibri"/>
          <w:i/>
          <w:color w:val="000000" w:themeColor="text1"/>
          <w:sz w:val="16"/>
          <w:szCs w:val="20"/>
        </w:rPr>
        <w:t>Cumulative Index to Nursing and Allied Health Literature</w:t>
      </w:r>
      <w:r w:rsidRPr="008B3FCD">
        <w:rPr>
          <w:rFonts w:ascii="Calibri" w:eastAsia="Calibri" w:hAnsi="Calibri" w:cs="Calibri"/>
          <w:iCs/>
          <w:color w:val="000000" w:themeColor="text1"/>
          <w:sz w:val="16"/>
          <w:szCs w:val="20"/>
        </w:rPr>
        <w:t xml:space="preserve">; </w:t>
      </w:r>
      <w:proofErr w:type="spellStart"/>
      <w:r w:rsidRPr="008B3FCD">
        <w:rPr>
          <w:rFonts w:ascii="Calibri" w:eastAsia="Calibri" w:hAnsi="Calibri" w:cs="Calibri"/>
          <w:color w:val="000000" w:themeColor="text1"/>
          <w:sz w:val="16"/>
          <w:szCs w:val="20"/>
        </w:rPr>
        <w:t>SciELO</w:t>
      </w:r>
      <w:proofErr w:type="spellEnd"/>
      <w:r w:rsidRPr="008B3FCD">
        <w:rPr>
          <w:rFonts w:ascii="Calibri" w:eastAsia="Calibri" w:hAnsi="Calibri" w:cs="Calibri"/>
          <w:color w:val="000000" w:themeColor="text1"/>
          <w:sz w:val="16"/>
          <w:szCs w:val="20"/>
        </w:rPr>
        <w:t>:</w:t>
      </w:r>
      <w:r w:rsidRPr="008B3FCD">
        <w:rPr>
          <w:rFonts w:ascii="Calibri" w:eastAsia="Calibri" w:hAnsi="Calibri" w:cs="Calibri"/>
          <w:i/>
          <w:color w:val="000000" w:themeColor="text1"/>
          <w:sz w:val="16"/>
          <w:szCs w:val="20"/>
        </w:rPr>
        <w:t xml:space="preserve"> Scientific Electronic Library </w:t>
      </w:r>
      <w:r w:rsidRPr="008B3FCD">
        <w:rPr>
          <w:rFonts w:ascii="Calibri" w:eastAsia="Calibri" w:hAnsi="Calibri" w:cs="Calibri"/>
          <w:i/>
          <w:iCs/>
          <w:color w:val="000000" w:themeColor="text1"/>
          <w:sz w:val="16"/>
          <w:szCs w:val="20"/>
        </w:rPr>
        <w:t>Online</w:t>
      </w:r>
      <w:r w:rsidRPr="008B3FCD">
        <w:rPr>
          <w:rFonts w:ascii="Calibri" w:eastAsia="Calibri" w:hAnsi="Calibri" w:cs="Calibri"/>
          <w:color w:val="000000" w:themeColor="text1"/>
          <w:sz w:val="16"/>
          <w:szCs w:val="20"/>
        </w:rPr>
        <w:t>.</w:t>
      </w:r>
    </w:p>
    <w:p w14:paraId="6EF34BFC" w14:textId="0E4FFCED" w:rsidR="00840612" w:rsidRPr="00A631CB" w:rsidRDefault="008743DD" w:rsidP="008743DD">
      <w:pPr>
        <w:spacing w:after="120" w:line="240" w:lineRule="auto"/>
        <w:ind w:left="1134" w:right="1134"/>
        <w:jc w:val="both"/>
        <w:rPr>
          <w:rFonts w:ascii="Calibri" w:eastAsia="Calibri" w:hAnsi="Calibri" w:cs="Calibri"/>
          <w:color w:val="000000" w:themeColor="text1"/>
          <w:sz w:val="16"/>
          <w:szCs w:val="16"/>
        </w:rPr>
      </w:pPr>
      <w:r w:rsidRPr="00A631CB">
        <w:rPr>
          <w:rFonts w:ascii="Calibri" w:eastAsia="Calibri" w:hAnsi="Calibri" w:cs="Calibri"/>
          <w:b/>
          <w:color w:val="000000" w:themeColor="text1"/>
          <w:sz w:val="16"/>
          <w:szCs w:val="16"/>
        </w:rPr>
        <w:t xml:space="preserve">FIGURE </w:t>
      </w:r>
      <w:r w:rsidR="00840612" w:rsidRPr="00A631CB">
        <w:rPr>
          <w:rFonts w:ascii="Calibri" w:eastAsia="Calibri" w:hAnsi="Calibri" w:cs="Calibri"/>
          <w:b/>
          <w:color w:val="000000" w:themeColor="text1"/>
          <w:sz w:val="16"/>
          <w:szCs w:val="16"/>
        </w:rPr>
        <w:t>1</w:t>
      </w:r>
      <w:r w:rsidR="00840612" w:rsidRPr="00A631CB">
        <w:rPr>
          <w:rFonts w:ascii="Calibri" w:eastAsia="Calibri" w:hAnsi="Calibri" w:cs="Calibri"/>
          <w:color w:val="000000" w:themeColor="text1"/>
          <w:sz w:val="16"/>
          <w:szCs w:val="16"/>
        </w:rPr>
        <w:t>: Flowchart of the study selection process adapted from PRISMA-</w:t>
      </w:r>
      <w:proofErr w:type="spellStart"/>
      <w:r w:rsidR="00840612" w:rsidRPr="00A631CB">
        <w:rPr>
          <w:rFonts w:ascii="Calibri" w:eastAsia="Calibri" w:hAnsi="Calibri" w:cs="Calibri"/>
          <w:color w:val="000000" w:themeColor="text1"/>
          <w:sz w:val="16"/>
          <w:szCs w:val="16"/>
        </w:rPr>
        <w:t>ScR.</w:t>
      </w:r>
      <w:proofErr w:type="spellEnd"/>
      <w:r w:rsidR="00840612" w:rsidRPr="00A631CB">
        <w:rPr>
          <w:rFonts w:ascii="Calibri" w:eastAsia="Calibri" w:hAnsi="Calibri" w:cs="Calibri"/>
          <w:color w:val="000000" w:themeColor="text1"/>
          <w:sz w:val="16"/>
          <w:szCs w:val="16"/>
        </w:rPr>
        <w:t xml:space="preserve"> Rio de Janeiro, RJ, Brazil, 2020</w:t>
      </w:r>
      <w:r w:rsidR="00840612" w:rsidRPr="00A631CB">
        <w:rPr>
          <w:rFonts w:ascii="Calibri" w:eastAsia="Calibri" w:hAnsi="Calibri" w:cs="Calibri"/>
          <w:color w:val="000000" w:themeColor="text1"/>
          <w:sz w:val="16"/>
          <w:szCs w:val="16"/>
          <w:vertAlign w:val="superscript"/>
        </w:rPr>
        <w:t>13</w:t>
      </w:r>
      <w:r w:rsidR="00840612" w:rsidRPr="00A631CB">
        <w:rPr>
          <w:rFonts w:ascii="Calibri" w:eastAsia="Calibri" w:hAnsi="Calibri" w:cs="Calibri"/>
          <w:color w:val="000000" w:themeColor="text1"/>
          <w:sz w:val="16"/>
          <w:szCs w:val="16"/>
        </w:rPr>
        <w:t>.</w:t>
      </w:r>
    </w:p>
    <w:p w14:paraId="06B70394" w14:textId="5B00E5D5" w:rsidR="00840612" w:rsidRDefault="00840612" w:rsidP="00840612">
      <w:pPr>
        <w:spacing w:after="120" w:line="240" w:lineRule="auto"/>
        <w:ind w:firstLine="454"/>
        <w:jc w:val="both"/>
        <w:rPr>
          <w:rFonts w:ascii="Calibri" w:eastAsia="Calibri" w:hAnsi="Calibri" w:cs="Calibri"/>
          <w:color w:val="000000" w:themeColor="text1"/>
          <w:sz w:val="20"/>
          <w:szCs w:val="20"/>
        </w:rPr>
      </w:pPr>
    </w:p>
    <w:p w14:paraId="4C7E1264" w14:textId="77777777" w:rsidR="008743DD" w:rsidRPr="001D4902" w:rsidRDefault="008743DD" w:rsidP="00840612">
      <w:pPr>
        <w:spacing w:after="120" w:line="240" w:lineRule="auto"/>
        <w:ind w:firstLine="454"/>
        <w:jc w:val="both"/>
        <w:rPr>
          <w:rFonts w:ascii="Calibri" w:eastAsia="Calibri" w:hAnsi="Calibri" w:cs="Calibri"/>
          <w:color w:val="000000" w:themeColor="text1"/>
          <w:sz w:val="20"/>
          <w:szCs w:val="20"/>
        </w:rPr>
      </w:pPr>
    </w:p>
    <w:p w14:paraId="3610F026"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A total of 719 of the 1435 articles found in the searched databases remained after removing duplicate records. After a thorough reading of their titles and abstracts, 604 were discarded and 115 were included. After reading the 115 articles in full, only 21 were selected because they met the inclusion criteria established in the work.</w:t>
      </w:r>
    </w:p>
    <w:p w14:paraId="42D9C22A" w14:textId="253C96F0" w:rsidR="0084061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Of the 21 studies included in this review, 10 are a literature review, two guidelines, two case studies, a systematic review, an opinion article, a retrospective review, a quantitative cross-sectional study, a cohort study, a qualitative cross-sectional study, and an inquiry response. All were published from 2005 to 2020 and developed in the following countries: United States (n=6), Brazil (n=4), Spain (n=3), Australia (n=2), Great Britain (n= 1), Mexico (n=1), China (n=1), Netherlands (n=1), Norway (n=1) and Japan (n=1). The synthesis obtained is shown in Figures 2 and 3.</w:t>
      </w:r>
    </w:p>
    <w:p w14:paraId="20772D29" w14:textId="77777777" w:rsidR="008743DD" w:rsidRDefault="008743DD" w:rsidP="00840612">
      <w:pPr>
        <w:spacing w:after="120" w:line="240" w:lineRule="auto"/>
        <w:ind w:firstLine="454"/>
        <w:jc w:val="both"/>
        <w:rPr>
          <w:rFonts w:ascii="Calibri" w:eastAsia="Calibri" w:hAnsi="Calibri" w:cs="Calibri"/>
          <w:color w:val="000000" w:themeColor="text1"/>
          <w:sz w:val="20"/>
          <w:szCs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8"/>
        <w:gridCol w:w="1134"/>
        <w:gridCol w:w="4677"/>
      </w:tblGrid>
      <w:tr w:rsidR="00840612" w:rsidRPr="00A631CB" w14:paraId="4E5F1482" w14:textId="77777777" w:rsidTr="00A631CB">
        <w:trPr>
          <w:trHeight w:val="44"/>
        </w:trPr>
        <w:tc>
          <w:tcPr>
            <w:tcW w:w="3818" w:type="dxa"/>
            <w:shd w:val="clear" w:color="auto" w:fill="auto"/>
            <w:tcMar>
              <w:top w:w="100" w:type="dxa"/>
              <w:left w:w="100" w:type="dxa"/>
              <w:bottom w:w="100" w:type="dxa"/>
              <w:right w:w="100" w:type="dxa"/>
            </w:tcMar>
          </w:tcPr>
          <w:p w14:paraId="36FA8F5D" w14:textId="77777777" w:rsidR="00840612" w:rsidRPr="00A631CB" w:rsidRDefault="00840612" w:rsidP="00A631CB">
            <w:pPr>
              <w:spacing w:after="0" w:line="240" w:lineRule="auto"/>
              <w:jc w:val="both"/>
              <w:rPr>
                <w:rFonts w:asciiTheme="minorHAnsi" w:eastAsia="Calibri" w:hAnsiTheme="minorHAnsi" w:cstheme="minorHAnsi"/>
                <w:b/>
                <w:color w:val="000000" w:themeColor="text1"/>
                <w:sz w:val="18"/>
                <w:szCs w:val="18"/>
              </w:rPr>
            </w:pPr>
            <w:bookmarkStart w:id="1" w:name="_Hlk106802693"/>
            <w:r w:rsidRPr="00A631CB">
              <w:rPr>
                <w:rFonts w:asciiTheme="minorHAnsi" w:eastAsia="Calibri" w:hAnsiTheme="minorHAnsi" w:cstheme="minorHAnsi"/>
                <w:b/>
                <w:color w:val="000000" w:themeColor="text1"/>
                <w:sz w:val="18"/>
                <w:szCs w:val="18"/>
              </w:rPr>
              <w:lastRenderedPageBreak/>
              <w:t>Title/Country/Year</w:t>
            </w:r>
          </w:p>
        </w:tc>
        <w:tc>
          <w:tcPr>
            <w:tcW w:w="1134" w:type="dxa"/>
            <w:shd w:val="clear" w:color="auto" w:fill="auto"/>
          </w:tcPr>
          <w:p w14:paraId="455AAEEA" w14:textId="77777777" w:rsidR="00840612" w:rsidRPr="00A631CB" w:rsidRDefault="00840612" w:rsidP="00A631CB">
            <w:pPr>
              <w:spacing w:after="0" w:line="240" w:lineRule="auto"/>
              <w:jc w:val="center"/>
              <w:rPr>
                <w:rFonts w:asciiTheme="minorHAnsi" w:eastAsia="Calibri" w:hAnsiTheme="minorHAnsi" w:cstheme="minorHAnsi"/>
                <w:b/>
                <w:color w:val="000000" w:themeColor="text1"/>
                <w:sz w:val="18"/>
                <w:szCs w:val="18"/>
              </w:rPr>
            </w:pPr>
            <w:r w:rsidRPr="00A631CB">
              <w:rPr>
                <w:rFonts w:asciiTheme="minorHAnsi" w:eastAsia="Calibri" w:hAnsiTheme="minorHAnsi" w:cstheme="minorHAnsi"/>
                <w:b/>
                <w:color w:val="000000" w:themeColor="text1"/>
                <w:sz w:val="18"/>
                <w:szCs w:val="18"/>
              </w:rPr>
              <w:t>Method</w:t>
            </w:r>
          </w:p>
        </w:tc>
        <w:tc>
          <w:tcPr>
            <w:tcW w:w="4677" w:type="dxa"/>
            <w:shd w:val="clear" w:color="auto" w:fill="auto"/>
            <w:tcMar>
              <w:top w:w="100" w:type="dxa"/>
              <w:left w:w="100" w:type="dxa"/>
              <w:bottom w:w="100" w:type="dxa"/>
              <w:right w:w="100" w:type="dxa"/>
            </w:tcMar>
          </w:tcPr>
          <w:p w14:paraId="42F50F77" w14:textId="77777777" w:rsidR="00840612" w:rsidRPr="00A631CB" w:rsidRDefault="00840612" w:rsidP="00A631CB">
            <w:pPr>
              <w:spacing w:after="0" w:line="240" w:lineRule="auto"/>
              <w:jc w:val="both"/>
              <w:rPr>
                <w:rFonts w:asciiTheme="minorHAnsi" w:eastAsia="Calibri" w:hAnsiTheme="minorHAnsi" w:cstheme="minorHAnsi"/>
                <w:b/>
                <w:color w:val="000000" w:themeColor="text1"/>
                <w:sz w:val="18"/>
                <w:szCs w:val="18"/>
              </w:rPr>
            </w:pPr>
            <w:r w:rsidRPr="00A631CB">
              <w:rPr>
                <w:rFonts w:asciiTheme="minorHAnsi" w:eastAsia="Calibri" w:hAnsiTheme="minorHAnsi" w:cstheme="minorHAnsi"/>
                <w:b/>
                <w:color w:val="000000" w:themeColor="text1"/>
                <w:sz w:val="18"/>
                <w:szCs w:val="18"/>
              </w:rPr>
              <w:t>Objectives</w:t>
            </w:r>
          </w:p>
        </w:tc>
      </w:tr>
      <w:tr w:rsidR="00840612" w:rsidRPr="00A631CB" w14:paraId="247A200C" w14:textId="77777777" w:rsidTr="003C3BF2">
        <w:trPr>
          <w:trHeight w:val="716"/>
        </w:trPr>
        <w:tc>
          <w:tcPr>
            <w:tcW w:w="3818" w:type="dxa"/>
            <w:shd w:val="clear" w:color="auto" w:fill="auto"/>
            <w:tcMar>
              <w:top w:w="100" w:type="dxa"/>
              <w:left w:w="100" w:type="dxa"/>
              <w:bottom w:w="100" w:type="dxa"/>
              <w:right w:w="100" w:type="dxa"/>
            </w:tcMar>
          </w:tcPr>
          <w:p w14:paraId="30A2959F"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Ethical and medical-legal aspects in the management of neurosurgical emergencies among Jehovah's Witnesses: Clinical implications and review</w:t>
            </w:r>
            <w:r w:rsidRPr="00A631CB">
              <w:rPr>
                <w:rFonts w:asciiTheme="minorHAnsi" w:eastAsia="Calibri" w:hAnsiTheme="minorHAnsi" w:cstheme="minorHAnsi"/>
                <w:color w:val="000000" w:themeColor="text1"/>
                <w:sz w:val="18"/>
                <w:szCs w:val="18"/>
                <w:vertAlign w:val="superscript"/>
              </w:rPr>
              <w:t>14</w:t>
            </w:r>
          </w:p>
          <w:p w14:paraId="6852B8CB"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United States, 2020</w:t>
            </w:r>
          </w:p>
        </w:tc>
        <w:tc>
          <w:tcPr>
            <w:tcW w:w="1134" w:type="dxa"/>
            <w:shd w:val="clear" w:color="auto" w:fill="auto"/>
          </w:tcPr>
          <w:p w14:paraId="48884140"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p w14:paraId="2E3C179B"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p>
        </w:tc>
        <w:tc>
          <w:tcPr>
            <w:tcW w:w="4677" w:type="dxa"/>
            <w:shd w:val="clear" w:color="auto" w:fill="auto"/>
            <w:tcMar>
              <w:top w:w="100" w:type="dxa"/>
              <w:left w:w="100" w:type="dxa"/>
              <w:bottom w:w="100" w:type="dxa"/>
              <w:right w:w="100" w:type="dxa"/>
            </w:tcMar>
          </w:tcPr>
          <w:p w14:paraId="5262699A"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Review morbidity from operative delays, discuss medicolegal concerns raised, and provide a detailed guide to hemostasis in patients who refuse blood products.</w:t>
            </w:r>
          </w:p>
        </w:tc>
      </w:tr>
      <w:tr w:rsidR="00840612" w:rsidRPr="00A631CB" w14:paraId="7960A99E" w14:textId="77777777" w:rsidTr="003C3BF2">
        <w:tc>
          <w:tcPr>
            <w:tcW w:w="3818" w:type="dxa"/>
            <w:shd w:val="clear" w:color="auto" w:fill="auto"/>
            <w:tcMar>
              <w:top w:w="100" w:type="dxa"/>
              <w:left w:w="100" w:type="dxa"/>
              <w:bottom w:w="100" w:type="dxa"/>
              <w:right w:w="100" w:type="dxa"/>
            </w:tcMar>
          </w:tcPr>
          <w:p w14:paraId="7C2C43CC"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 xml:space="preserve">Treatment of acute </w:t>
            </w:r>
            <w:proofErr w:type="spellStart"/>
            <w:r w:rsidRPr="00A631CB">
              <w:rPr>
                <w:rFonts w:asciiTheme="minorHAnsi" w:eastAsia="Calibri" w:hAnsiTheme="minorHAnsi" w:cstheme="minorHAnsi"/>
                <w:color w:val="000000" w:themeColor="text1"/>
                <w:sz w:val="18"/>
                <w:szCs w:val="18"/>
              </w:rPr>
              <w:t>leukaemia</w:t>
            </w:r>
            <w:proofErr w:type="spellEnd"/>
            <w:r w:rsidRPr="00A631CB">
              <w:rPr>
                <w:rFonts w:asciiTheme="minorHAnsi" w:eastAsia="Calibri" w:hAnsiTheme="minorHAnsi" w:cstheme="minorHAnsi"/>
                <w:color w:val="000000" w:themeColor="text1"/>
                <w:sz w:val="18"/>
                <w:szCs w:val="18"/>
              </w:rPr>
              <w:t xml:space="preserve"> in adult Jehovah's Witnesses</w:t>
            </w:r>
            <w:r w:rsidRPr="00A631CB">
              <w:rPr>
                <w:rFonts w:asciiTheme="minorHAnsi" w:eastAsia="Calibri" w:hAnsiTheme="minorHAnsi" w:cstheme="minorHAnsi"/>
                <w:color w:val="000000" w:themeColor="text1"/>
                <w:sz w:val="18"/>
                <w:szCs w:val="18"/>
                <w:vertAlign w:val="superscript"/>
              </w:rPr>
              <w:t>15</w:t>
            </w:r>
          </w:p>
          <w:p w14:paraId="4931E856"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United States, 2019</w:t>
            </w:r>
          </w:p>
          <w:p w14:paraId="1AAB1591"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p>
        </w:tc>
        <w:tc>
          <w:tcPr>
            <w:tcW w:w="1134" w:type="dxa"/>
            <w:shd w:val="clear" w:color="auto" w:fill="auto"/>
          </w:tcPr>
          <w:p w14:paraId="30672BDA"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010A0B50"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Discuss optimal management of the Jehovah’s Witness patient diagnosed with leukemia and describe alternative modalities to blood transfusions to provide sufficient oxygenation.</w:t>
            </w:r>
          </w:p>
        </w:tc>
      </w:tr>
      <w:tr w:rsidR="00840612" w:rsidRPr="00A631CB" w14:paraId="3E39B995" w14:textId="77777777" w:rsidTr="003C3BF2">
        <w:tc>
          <w:tcPr>
            <w:tcW w:w="3818" w:type="dxa"/>
            <w:shd w:val="clear" w:color="auto" w:fill="auto"/>
            <w:tcMar>
              <w:top w:w="100" w:type="dxa"/>
              <w:left w:w="100" w:type="dxa"/>
              <w:bottom w:w="100" w:type="dxa"/>
              <w:right w:w="100" w:type="dxa"/>
            </w:tcMar>
          </w:tcPr>
          <w:p w14:paraId="0C57FD07"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Guidelines on transfusion of red blood cells: Prognosis of patients who decline blood transfusions.</w:t>
            </w:r>
            <w:r w:rsidRPr="00A631CB">
              <w:rPr>
                <w:rFonts w:asciiTheme="minorHAnsi" w:eastAsia="Calibri" w:hAnsiTheme="minorHAnsi" w:cstheme="minorHAnsi"/>
                <w:color w:val="000000" w:themeColor="text1"/>
                <w:sz w:val="18"/>
                <w:szCs w:val="18"/>
                <w:vertAlign w:val="superscript"/>
              </w:rPr>
              <w:t>16</w:t>
            </w:r>
          </w:p>
          <w:p w14:paraId="2692A07B"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Brazil, 2018</w:t>
            </w:r>
          </w:p>
        </w:tc>
        <w:tc>
          <w:tcPr>
            <w:tcW w:w="1134" w:type="dxa"/>
            <w:shd w:val="clear" w:color="auto" w:fill="auto"/>
          </w:tcPr>
          <w:p w14:paraId="6223453B"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Systematic review</w:t>
            </w:r>
          </w:p>
        </w:tc>
        <w:tc>
          <w:tcPr>
            <w:tcW w:w="4677" w:type="dxa"/>
            <w:shd w:val="clear" w:color="auto" w:fill="auto"/>
            <w:tcMar>
              <w:top w:w="100" w:type="dxa"/>
              <w:left w:w="100" w:type="dxa"/>
              <w:bottom w:w="100" w:type="dxa"/>
              <w:right w:w="100" w:type="dxa"/>
            </w:tcMar>
          </w:tcPr>
          <w:p w14:paraId="7E23CB43"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Answer if there are parameters, time, clinical signs or situations which indicate that the refusal of a red blood cell transfusion can lead to death or sequelae.</w:t>
            </w:r>
          </w:p>
        </w:tc>
      </w:tr>
      <w:tr w:rsidR="00840612" w:rsidRPr="00A631CB" w14:paraId="0083A25C" w14:textId="77777777" w:rsidTr="003C3BF2">
        <w:tc>
          <w:tcPr>
            <w:tcW w:w="3818" w:type="dxa"/>
            <w:shd w:val="clear" w:color="auto" w:fill="auto"/>
            <w:tcMar>
              <w:top w:w="100" w:type="dxa"/>
              <w:left w:w="100" w:type="dxa"/>
              <w:bottom w:w="100" w:type="dxa"/>
              <w:right w:w="100" w:type="dxa"/>
            </w:tcMar>
          </w:tcPr>
          <w:p w14:paraId="479166DD"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Jehovah 's Witness Administration in Obstetrics and Gynecology: An Understanding, Ethical, and Legal Approach</w:t>
            </w:r>
            <w:r w:rsidRPr="00A631CB">
              <w:rPr>
                <w:rFonts w:asciiTheme="minorHAnsi" w:eastAsia="Calibri" w:hAnsiTheme="minorHAnsi" w:cstheme="minorHAnsi"/>
                <w:color w:val="000000" w:themeColor="text1"/>
                <w:sz w:val="18"/>
                <w:szCs w:val="18"/>
                <w:vertAlign w:val="superscript"/>
              </w:rPr>
              <w:t>17</w:t>
            </w:r>
          </w:p>
          <w:p w14:paraId="30240F0B"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Estados Unidos, 2016</w:t>
            </w:r>
          </w:p>
        </w:tc>
        <w:tc>
          <w:tcPr>
            <w:tcW w:w="1134" w:type="dxa"/>
            <w:shd w:val="clear" w:color="auto" w:fill="auto"/>
          </w:tcPr>
          <w:p w14:paraId="7261DBE8"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2F3E34FD"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Describe the medical, ethical, and legal implications of managing Jehovah’s Witness patients in obstetric and gynecological settings.</w:t>
            </w:r>
          </w:p>
        </w:tc>
      </w:tr>
      <w:tr w:rsidR="00840612" w:rsidRPr="00A631CB" w14:paraId="00C9BC19" w14:textId="77777777" w:rsidTr="003C3BF2">
        <w:tc>
          <w:tcPr>
            <w:tcW w:w="3818" w:type="dxa"/>
            <w:shd w:val="clear" w:color="auto" w:fill="auto"/>
            <w:tcMar>
              <w:top w:w="100" w:type="dxa"/>
              <w:left w:w="100" w:type="dxa"/>
              <w:bottom w:w="100" w:type="dxa"/>
              <w:right w:w="100" w:type="dxa"/>
            </w:tcMar>
          </w:tcPr>
          <w:p w14:paraId="54F84BBB"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hAnsiTheme="minorHAnsi" w:cstheme="minorHAnsi"/>
                <w:sz w:val="18"/>
                <w:szCs w:val="18"/>
              </w:rPr>
              <w:t>Autonomy of the patient’s will and capacity to consent: a reflection on the irresistible coercion</w:t>
            </w:r>
            <w:r w:rsidRPr="00A631CB">
              <w:rPr>
                <w:rFonts w:asciiTheme="minorHAnsi" w:eastAsia="Calibri" w:hAnsiTheme="minorHAnsi" w:cstheme="minorHAnsi"/>
                <w:color w:val="000000" w:themeColor="text1"/>
                <w:sz w:val="18"/>
                <w:szCs w:val="18"/>
              </w:rPr>
              <w:t xml:space="preserve"> Brazil, 2016</w:t>
            </w:r>
            <w:r w:rsidRPr="00A631CB">
              <w:rPr>
                <w:rFonts w:asciiTheme="minorHAnsi" w:eastAsia="Calibri" w:hAnsiTheme="minorHAnsi" w:cstheme="minorHAnsi"/>
                <w:color w:val="000000" w:themeColor="text1"/>
                <w:sz w:val="18"/>
                <w:szCs w:val="18"/>
                <w:vertAlign w:val="superscript"/>
              </w:rPr>
              <w:t>18</w:t>
            </w:r>
          </w:p>
        </w:tc>
        <w:tc>
          <w:tcPr>
            <w:tcW w:w="1134" w:type="dxa"/>
            <w:shd w:val="clear" w:color="auto" w:fill="auto"/>
          </w:tcPr>
          <w:p w14:paraId="547E3A7F"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0996FF38"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Investigate the validity of the patient’s manifestation of will, when he is influenced by pain, suffering and needs to declare whether or not he will undergo a certain treatment.</w:t>
            </w:r>
          </w:p>
        </w:tc>
      </w:tr>
      <w:tr w:rsidR="00840612" w:rsidRPr="00A631CB" w14:paraId="40EBDC2D" w14:textId="77777777" w:rsidTr="003C3BF2">
        <w:tc>
          <w:tcPr>
            <w:tcW w:w="3818" w:type="dxa"/>
            <w:shd w:val="clear" w:color="auto" w:fill="auto"/>
            <w:tcMar>
              <w:top w:w="100" w:type="dxa"/>
              <w:left w:w="100" w:type="dxa"/>
              <w:bottom w:w="100" w:type="dxa"/>
              <w:right w:w="100" w:type="dxa"/>
            </w:tcMar>
          </w:tcPr>
          <w:p w14:paraId="5641B9C3"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When the pregnant Jehovah's Witness patient refuses blood: implications for nurses</w:t>
            </w:r>
            <w:r w:rsidRPr="00A631CB">
              <w:rPr>
                <w:rFonts w:asciiTheme="minorHAnsi" w:eastAsia="Calibri" w:hAnsiTheme="minorHAnsi" w:cstheme="minorHAnsi"/>
                <w:color w:val="000000" w:themeColor="text1"/>
                <w:sz w:val="18"/>
                <w:szCs w:val="18"/>
                <w:vertAlign w:val="superscript"/>
              </w:rPr>
              <w:t>19</w:t>
            </w:r>
          </w:p>
          <w:p w14:paraId="32804DE6"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United States, 2010</w:t>
            </w:r>
          </w:p>
        </w:tc>
        <w:tc>
          <w:tcPr>
            <w:tcW w:w="1134" w:type="dxa"/>
            <w:shd w:val="clear" w:color="auto" w:fill="auto"/>
          </w:tcPr>
          <w:p w14:paraId="7F39509C"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Case study</w:t>
            </w:r>
          </w:p>
        </w:tc>
        <w:tc>
          <w:tcPr>
            <w:tcW w:w="4677" w:type="dxa"/>
            <w:shd w:val="clear" w:color="auto" w:fill="auto"/>
            <w:tcMar>
              <w:top w:w="100" w:type="dxa"/>
              <w:left w:w="100" w:type="dxa"/>
              <w:bottom w:w="100" w:type="dxa"/>
              <w:right w:w="100" w:type="dxa"/>
            </w:tcMar>
          </w:tcPr>
          <w:p w14:paraId="54D66BA1"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Discuss alternative strategies to blood transfusion and the appropriate approach.</w:t>
            </w:r>
          </w:p>
        </w:tc>
      </w:tr>
      <w:tr w:rsidR="00840612" w:rsidRPr="00A631CB" w14:paraId="7593C636" w14:textId="77777777" w:rsidTr="003C3BF2">
        <w:tc>
          <w:tcPr>
            <w:tcW w:w="3818" w:type="dxa"/>
            <w:shd w:val="clear" w:color="auto" w:fill="auto"/>
            <w:tcMar>
              <w:top w:w="100" w:type="dxa"/>
              <w:left w:w="100" w:type="dxa"/>
              <w:bottom w:w="100" w:type="dxa"/>
              <w:right w:w="100" w:type="dxa"/>
            </w:tcMar>
          </w:tcPr>
          <w:p w14:paraId="336A7846"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hAnsiTheme="minorHAnsi" w:cstheme="minorHAnsi"/>
                <w:color w:val="000000" w:themeColor="text1"/>
                <w:sz w:val="18"/>
                <w:szCs w:val="18"/>
              </w:rPr>
              <w:t xml:space="preserve">Jehovah’s Witnesses’ positions on the use of </w:t>
            </w:r>
            <w:proofErr w:type="spellStart"/>
            <w:r w:rsidRPr="00A631CB">
              <w:rPr>
                <w:rFonts w:asciiTheme="minorHAnsi" w:hAnsiTheme="minorHAnsi" w:cstheme="minorHAnsi"/>
                <w:color w:val="000000" w:themeColor="text1"/>
                <w:sz w:val="18"/>
                <w:szCs w:val="18"/>
              </w:rPr>
              <w:t>hemocomponents</w:t>
            </w:r>
            <w:proofErr w:type="spellEnd"/>
            <w:r w:rsidRPr="00A631CB">
              <w:rPr>
                <w:rFonts w:asciiTheme="minorHAnsi" w:hAnsiTheme="minorHAnsi" w:cstheme="minorHAnsi"/>
                <w:color w:val="000000" w:themeColor="text1"/>
                <w:sz w:val="18"/>
                <w:szCs w:val="18"/>
              </w:rPr>
              <w:t xml:space="preserve"> and hemoderivatives</w:t>
            </w:r>
            <w:r w:rsidRPr="00A631CB">
              <w:rPr>
                <w:rFonts w:asciiTheme="minorHAnsi" w:eastAsia="Calibri" w:hAnsiTheme="minorHAnsi" w:cstheme="minorHAnsi"/>
                <w:color w:val="000000" w:themeColor="text1"/>
                <w:sz w:val="18"/>
                <w:szCs w:val="18"/>
                <w:vertAlign w:val="superscript"/>
              </w:rPr>
              <w:t xml:space="preserve"> 20</w:t>
            </w:r>
          </w:p>
          <w:p w14:paraId="1694EBAD"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Brazil, 2010</w:t>
            </w:r>
          </w:p>
        </w:tc>
        <w:tc>
          <w:tcPr>
            <w:tcW w:w="1134" w:type="dxa"/>
            <w:shd w:val="clear" w:color="auto" w:fill="auto"/>
          </w:tcPr>
          <w:p w14:paraId="6A2201F2"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Qualitative cross-sectional study</w:t>
            </w:r>
          </w:p>
        </w:tc>
        <w:tc>
          <w:tcPr>
            <w:tcW w:w="4677" w:type="dxa"/>
            <w:shd w:val="clear" w:color="auto" w:fill="auto"/>
            <w:tcMar>
              <w:top w:w="100" w:type="dxa"/>
              <w:left w:w="100" w:type="dxa"/>
              <w:bottom w:w="100" w:type="dxa"/>
              <w:right w:w="100" w:type="dxa"/>
            </w:tcMar>
          </w:tcPr>
          <w:p w14:paraId="35B1804C"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Study the degree of knowledge and acceptance of fresh and stored blood components and blood products by Jehovah’s Witness patients. Propose tools to face possible ethical and moral conflicts in relationships with doctors and dentists.</w:t>
            </w:r>
          </w:p>
        </w:tc>
      </w:tr>
      <w:tr w:rsidR="00840612" w:rsidRPr="00A631CB" w14:paraId="4775B0BA" w14:textId="77777777" w:rsidTr="003C3BF2">
        <w:tc>
          <w:tcPr>
            <w:tcW w:w="3818" w:type="dxa"/>
            <w:shd w:val="clear" w:color="auto" w:fill="auto"/>
            <w:tcMar>
              <w:top w:w="100" w:type="dxa"/>
              <w:left w:w="100" w:type="dxa"/>
              <w:bottom w:w="100" w:type="dxa"/>
              <w:right w:w="100" w:type="dxa"/>
            </w:tcMar>
          </w:tcPr>
          <w:p w14:paraId="41280751"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Overriding the Jehovah’s Witness patient’s refusal of blood: a reply to Cahana, Weibel, and Hurst</w:t>
            </w:r>
            <w:r w:rsidRPr="00A631CB">
              <w:rPr>
                <w:rFonts w:asciiTheme="minorHAnsi" w:eastAsia="Calibri" w:hAnsiTheme="minorHAnsi" w:cstheme="minorHAnsi"/>
                <w:color w:val="000000" w:themeColor="text1"/>
                <w:sz w:val="18"/>
                <w:szCs w:val="18"/>
                <w:vertAlign w:val="superscript"/>
              </w:rPr>
              <w:t>21</w:t>
            </w:r>
          </w:p>
          <w:p w14:paraId="37AD9873"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United States, 2009</w:t>
            </w:r>
          </w:p>
        </w:tc>
        <w:tc>
          <w:tcPr>
            <w:tcW w:w="1134" w:type="dxa"/>
            <w:shd w:val="clear" w:color="auto" w:fill="auto"/>
          </w:tcPr>
          <w:p w14:paraId="19BE4E71"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Inquiry response</w:t>
            </w:r>
          </w:p>
        </w:tc>
        <w:tc>
          <w:tcPr>
            <w:tcW w:w="4677" w:type="dxa"/>
            <w:shd w:val="clear" w:color="auto" w:fill="auto"/>
            <w:tcMar>
              <w:top w:w="100" w:type="dxa"/>
              <w:left w:w="100" w:type="dxa"/>
              <w:bottom w:w="100" w:type="dxa"/>
              <w:right w:w="100" w:type="dxa"/>
            </w:tcMar>
          </w:tcPr>
          <w:p w14:paraId="34D416A6"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Examine the two ethical reasons that were offered to explain respondents’ responses and argue that neither are ethically acceptable.</w:t>
            </w:r>
          </w:p>
        </w:tc>
      </w:tr>
      <w:tr w:rsidR="00840612" w:rsidRPr="00A631CB" w14:paraId="072CBB86" w14:textId="77777777" w:rsidTr="003C3BF2">
        <w:tc>
          <w:tcPr>
            <w:tcW w:w="3818" w:type="dxa"/>
            <w:shd w:val="clear" w:color="auto" w:fill="auto"/>
            <w:tcMar>
              <w:top w:w="100" w:type="dxa"/>
              <w:left w:w="100" w:type="dxa"/>
              <w:bottom w:w="100" w:type="dxa"/>
              <w:right w:w="100" w:type="dxa"/>
            </w:tcMar>
          </w:tcPr>
          <w:p w14:paraId="0909A1EC"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hAnsiTheme="minorHAnsi" w:cstheme="minorHAnsi"/>
                <w:color w:val="000000" w:themeColor="text1"/>
                <w:sz w:val="18"/>
                <w:szCs w:val="18"/>
              </w:rPr>
              <w:t xml:space="preserve">Ethical dilemmas in blood transfusion in </w:t>
            </w:r>
            <w:proofErr w:type="spellStart"/>
            <w:r w:rsidRPr="00A631CB">
              <w:rPr>
                <w:rFonts w:asciiTheme="minorHAnsi" w:hAnsiTheme="minorHAnsi" w:cstheme="minorHAnsi"/>
                <w:color w:val="000000" w:themeColor="text1"/>
                <w:sz w:val="18"/>
                <w:szCs w:val="18"/>
              </w:rPr>
              <w:t>Jehovahís</w:t>
            </w:r>
            <w:proofErr w:type="spellEnd"/>
            <w:r w:rsidRPr="00A631CB">
              <w:rPr>
                <w:rFonts w:asciiTheme="minorHAnsi" w:hAnsiTheme="minorHAnsi" w:cstheme="minorHAnsi"/>
                <w:color w:val="000000" w:themeColor="text1"/>
                <w:sz w:val="18"/>
                <w:szCs w:val="18"/>
              </w:rPr>
              <w:t xml:space="preserve"> Witnesses: A legal-bioethical analysis</w:t>
            </w:r>
            <w:r w:rsidRPr="00A631CB">
              <w:rPr>
                <w:rStyle w:val="Refdecomentrio"/>
                <w:rFonts w:asciiTheme="minorHAnsi" w:eastAsiaTheme="minorEastAsia" w:hAnsiTheme="minorHAnsi" w:cstheme="minorHAnsi"/>
                <w:sz w:val="18"/>
                <w:szCs w:val="18"/>
                <w:lang w:val="en-AU" w:eastAsia="zh-CN"/>
              </w:rPr>
              <w:t xml:space="preserve"> </w:t>
            </w:r>
            <w:r w:rsidRPr="00A631CB">
              <w:rPr>
                <w:rFonts w:asciiTheme="minorHAnsi" w:eastAsia="Calibri" w:hAnsiTheme="minorHAnsi" w:cstheme="minorHAnsi"/>
                <w:color w:val="000000" w:themeColor="text1"/>
                <w:sz w:val="18"/>
                <w:szCs w:val="18"/>
                <w:vertAlign w:val="superscript"/>
              </w:rPr>
              <w:t>22</w:t>
            </w:r>
          </w:p>
          <w:p w14:paraId="51957FC0"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Brazil, 2008</w:t>
            </w:r>
          </w:p>
        </w:tc>
        <w:tc>
          <w:tcPr>
            <w:tcW w:w="1134" w:type="dxa"/>
            <w:shd w:val="clear" w:color="auto" w:fill="auto"/>
          </w:tcPr>
          <w:p w14:paraId="6F52B83F"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53733E60"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Identify the knowledge production by health professionals about blood transfusion in Jehovah’s Witnesses, list the therapeutic alternatives that can be used in these individuals and cite the legal, ethical and biotic system concerning blood transfusion.</w:t>
            </w:r>
          </w:p>
        </w:tc>
      </w:tr>
      <w:tr w:rsidR="00840612" w:rsidRPr="00A631CB" w14:paraId="09D39C69" w14:textId="77777777" w:rsidTr="003C3BF2">
        <w:tc>
          <w:tcPr>
            <w:tcW w:w="3818" w:type="dxa"/>
            <w:shd w:val="clear" w:color="auto" w:fill="auto"/>
            <w:tcMar>
              <w:top w:w="100" w:type="dxa"/>
              <w:left w:w="100" w:type="dxa"/>
              <w:bottom w:w="100" w:type="dxa"/>
              <w:right w:w="100" w:type="dxa"/>
            </w:tcMar>
          </w:tcPr>
          <w:p w14:paraId="5A22C491"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A case study of an older adult with severe anemia refusing blood transfusion</w:t>
            </w:r>
            <w:r w:rsidRPr="00A631CB">
              <w:rPr>
                <w:rFonts w:asciiTheme="minorHAnsi" w:eastAsia="Calibri" w:hAnsiTheme="minorHAnsi" w:cstheme="minorHAnsi"/>
                <w:color w:val="000000" w:themeColor="text1"/>
                <w:sz w:val="18"/>
                <w:szCs w:val="18"/>
                <w:vertAlign w:val="superscript"/>
              </w:rPr>
              <w:t>23</w:t>
            </w:r>
          </w:p>
          <w:p w14:paraId="02DBD40F"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United States, 2007</w:t>
            </w:r>
          </w:p>
        </w:tc>
        <w:tc>
          <w:tcPr>
            <w:tcW w:w="1134" w:type="dxa"/>
            <w:shd w:val="clear" w:color="auto" w:fill="auto"/>
          </w:tcPr>
          <w:p w14:paraId="4662EDB5"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Case study</w:t>
            </w:r>
          </w:p>
        </w:tc>
        <w:tc>
          <w:tcPr>
            <w:tcW w:w="4677" w:type="dxa"/>
            <w:shd w:val="clear" w:color="auto" w:fill="auto"/>
            <w:tcMar>
              <w:top w:w="100" w:type="dxa"/>
              <w:left w:w="100" w:type="dxa"/>
              <w:bottom w:w="100" w:type="dxa"/>
              <w:right w:w="100" w:type="dxa"/>
            </w:tcMar>
          </w:tcPr>
          <w:p w14:paraId="5C4623AD"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Discuss the diagnosis and treatment of severe anemia in an older adult patient.</w:t>
            </w:r>
          </w:p>
        </w:tc>
      </w:tr>
      <w:tr w:rsidR="00840612" w:rsidRPr="00A631CB" w14:paraId="57DBB895" w14:textId="77777777" w:rsidTr="003C3BF2">
        <w:tc>
          <w:tcPr>
            <w:tcW w:w="3818" w:type="dxa"/>
            <w:shd w:val="clear" w:color="auto" w:fill="auto"/>
            <w:tcMar>
              <w:top w:w="100" w:type="dxa"/>
              <w:left w:w="100" w:type="dxa"/>
              <w:bottom w:w="100" w:type="dxa"/>
              <w:right w:w="100" w:type="dxa"/>
            </w:tcMar>
          </w:tcPr>
          <w:p w14:paraId="16242597"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The approach to the patient who refuses blood transfusion</w:t>
            </w:r>
            <w:r w:rsidRPr="00A631CB">
              <w:rPr>
                <w:rFonts w:asciiTheme="minorHAnsi" w:eastAsia="Calibri" w:hAnsiTheme="minorHAnsi" w:cstheme="minorHAnsi"/>
                <w:color w:val="000000" w:themeColor="text1"/>
                <w:sz w:val="18"/>
                <w:szCs w:val="18"/>
                <w:vertAlign w:val="superscript"/>
              </w:rPr>
              <w:t>24</w:t>
            </w:r>
          </w:p>
          <w:p w14:paraId="03C2C33D"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Mexico, 2006</w:t>
            </w:r>
          </w:p>
        </w:tc>
        <w:tc>
          <w:tcPr>
            <w:tcW w:w="1134" w:type="dxa"/>
            <w:shd w:val="clear" w:color="auto" w:fill="auto"/>
          </w:tcPr>
          <w:p w14:paraId="61C8A32C"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6928A8AC" w14:textId="77777777" w:rsidR="00840612" w:rsidRPr="00A631CB" w:rsidRDefault="00840612" w:rsidP="00A631CB">
            <w:pPr>
              <w:spacing w:after="0" w:line="240" w:lineRule="auto"/>
              <w:jc w:val="both"/>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Describe the approach to the patient who refuses blood transfusions.</w:t>
            </w:r>
          </w:p>
        </w:tc>
      </w:tr>
    </w:tbl>
    <w:p w14:paraId="23450DC3" w14:textId="21074E14" w:rsidR="00840612" w:rsidRPr="00A631CB" w:rsidRDefault="00A631CB" w:rsidP="00A631CB">
      <w:pPr>
        <w:spacing w:after="120" w:line="240" w:lineRule="auto"/>
        <w:jc w:val="both"/>
        <w:rPr>
          <w:rFonts w:ascii="Calibri" w:eastAsia="Calibri" w:hAnsi="Calibri" w:cs="Calibri"/>
          <w:color w:val="000000" w:themeColor="text1"/>
          <w:sz w:val="16"/>
          <w:szCs w:val="16"/>
        </w:rPr>
      </w:pPr>
      <w:r w:rsidRPr="00A631CB">
        <w:rPr>
          <w:rFonts w:ascii="Calibri" w:eastAsia="Calibri" w:hAnsi="Calibri" w:cs="Calibri"/>
          <w:b/>
          <w:color w:val="000000" w:themeColor="text1"/>
          <w:sz w:val="16"/>
          <w:szCs w:val="16"/>
        </w:rPr>
        <w:t xml:space="preserve">FIGURE </w:t>
      </w:r>
      <w:r w:rsidR="00840612" w:rsidRPr="00A631CB">
        <w:rPr>
          <w:rFonts w:ascii="Calibri" w:eastAsia="Calibri" w:hAnsi="Calibri" w:cs="Calibri"/>
          <w:b/>
          <w:color w:val="000000" w:themeColor="text1"/>
          <w:sz w:val="16"/>
          <w:szCs w:val="16"/>
        </w:rPr>
        <w:t>2:</w:t>
      </w:r>
      <w:r w:rsidR="00840612" w:rsidRPr="00A631CB">
        <w:rPr>
          <w:rFonts w:ascii="Calibri" w:eastAsia="Calibri" w:hAnsi="Calibri" w:cs="Calibri"/>
          <w:color w:val="000000" w:themeColor="text1"/>
          <w:sz w:val="16"/>
          <w:szCs w:val="16"/>
        </w:rPr>
        <w:t xml:space="preserve"> Scope - synthesis of articles published in the American continent. Rio de Janeiro, RJ, Brazil, 2020.</w:t>
      </w:r>
    </w:p>
    <w:p w14:paraId="2B2DBF51"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p>
    <w:p w14:paraId="679AC164" w14:textId="77777777" w:rsidR="00A631CB" w:rsidRDefault="00A631CB">
      <w:r>
        <w:br w:type="page"/>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8"/>
        <w:gridCol w:w="1482"/>
        <w:gridCol w:w="4677"/>
      </w:tblGrid>
      <w:tr w:rsidR="00840612" w:rsidRPr="001D4902" w14:paraId="24BFC9DF" w14:textId="77777777" w:rsidTr="00A631CB">
        <w:trPr>
          <w:trHeight w:val="20"/>
        </w:trPr>
        <w:tc>
          <w:tcPr>
            <w:tcW w:w="3818" w:type="dxa"/>
            <w:shd w:val="clear" w:color="auto" w:fill="auto"/>
            <w:tcMar>
              <w:top w:w="100" w:type="dxa"/>
              <w:left w:w="100" w:type="dxa"/>
              <w:bottom w:w="100" w:type="dxa"/>
              <w:right w:w="100" w:type="dxa"/>
            </w:tcMar>
            <w:vAlign w:val="bottom"/>
          </w:tcPr>
          <w:p w14:paraId="15115939" w14:textId="2C8AE5B3" w:rsidR="00840612" w:rsidRPr="00A631CB" w:rsidRDefault="00840612" w:rsidP="00A631CB">
            <w:pPr>
              <w:spacing w:after="0" w:line="240" w:lineRule="auto"/>
              <w:rPr>
                <w:rFonts w:asciiTheme="minorHAnsi" w:eastAsia="Calibri" w:hAnsiTheme="minorHAnsi" w:cstheme="minorHAnsi"/>
                <w:b/>
                <w:color w:val="000000" w:themeColor="text1"/>
                <w:sz w:val="18"/>
                <w:szCs w:val="18"/>
              </w:rPr>
            </w:pPr>
            <w:r w:rsidRPr="00A631CB">
              <w:rPr>
                <w:rFonts w:asciiTheme="minorHAnsi" w:eastAsia="Calibri" w:hAnsiTheme="minorHAnsi" w:cstheme="minorHAnsi"/>
                <w:b/>
                <w:color w:val="000000" w:themeColor="text1"/>
                <w:sz w:val="18"/>
                <w:szCs w:val="18"/>
              </w:rPr>
              <w:lastRenderedPageBreak/>
              <w:t>Title/Country/Year</w:t>
            </w:r>
          </w:p>
        </w:tc>
        <w:tc>
          <w:tcPr>
            <w:tcW w:w="1482" w:type="dxa"/>
          </w:tcPr>
          <w:p w14:paraId="5598AE88" w14:textId="77777777" w:rsidR="00840612" w:rsidRPr="00A631CB" w:rsidRDefault="00840612" w:rsidP="00A631CB">
            <w:pPr>
              <w:spacing w:after="0" w:line="240" w:lineRule="auto"/>
              <w:jc w:val="center"/>
              <w:rPr>
                <w:rFonts w:asciiTheme="minorHAnsi" w:eastAsia="Calibri" w:hAnsiTheme="minorHAnsi" w:cstheme="minorHAnsi"/>
                <w:b/>
                <w:color w:val="000000" w:themeColor="text1"/>
                <w:sz w:val="18"/>
                <w:szCs w:val="18"/>
              </w:rPr>
            </w:pPr>
            <w:r w:rsidRPr="00A631CB">
              <w:rPr>
                <w:rFonts w:asciiTheme="minorHAnsi" w:eastAsia="Calibri" w:hAnsiTheme="minorHAnsi" w:cstheme="minorHAnsi"/>
                <w:b/>
                <w:color w:val="000000" w:themeColor="text1"/>
                <w:sz w:val="18"/>
                <w:szCs w:val="18"/>
              </w:rPr>
              <w:t>Method</w:t>
            </w:r>
          </w:p>
        </w:tc>
        <w:tc>
          <w:tcPr>
            <w:tcW w:w="4677" w:type="dxa"/>
            <w:shd w:val="clear" w:color="auto" w:fill="auto"/>
            <w:tcMar>
              <w:top w:w="100" w:type="dxa"/>
              <w:left w:w="100" w:type="dxa"/>
              <w:bottom w:w="100" w:type="dxa"/>
              <w:right w:w="100" w:type="dxa"/>
            </w:tcMar>
            <w:vAlign w:val="bottom"/>
          </w:tcPr>
          <w:p w14:paraId="5D6C748A" w14:textId="77777777" w:rsidR="00840612" w:rsidRPr="00A631CB" w:rsidRDefault="00840612" w:rsidP="00A631CB">
            <w:pPr>
              <w:spacing w:after="0" w:line="240" w:lineRule="auto"/>
              <w:rPr>
                <w:rFonts w:asciiTheme="minorHAnsi" w:eastAsia="Calibri" w:hAnsiTheme="minorHAnsi" w:cstheme="minorHAnsi"/>
                <w:b/>
                <w:color w:val="000000" w:themeColor="text1"/>
                <w:sz w:val="18"/>
                <w:szCs w:val="18"/>
              </w:rPr>
            </w:pPr>
            <w:r w:rsidRPr="00A631CB">
              <w:rPr>
                <w:rFonts w:asciiTheme="minorHAnsi" w:eastAsia="Calibri" w:hAnsiTheme="minorHAnsi" w:cstheme="minorHAnsi"/>
                <w:b/>
                <w:color w:val="000000" w:themeColor="text1"/>
                <w:sz w:val="18"/>
                <w:szCs w:val="18"/>
              </w:rPr>
              <w:t>Objectives</w:t>
            </w:r>
          </w:p>
        </w:tc>
      </w:tr>
      <w:tr w:rsidR="00840612" w:rsidRPr="001D4902" w14:paraId="5EA9A426" w14:textId="77777777" w:rsidTr="00A631CB">
        <w:trPr>
          <w:trHeight w:val="20"/>
        </w:trPr>
        <w:tc>
          <w:tcPr>
            <w:tcW w:w="3818" w:type="dxa"/>
            <w:shd w:val="clear" w:color="auto" w:fill="FFFFFF"/>
            <w:tcMar>
              <w:top w:w="100" w:type="dxa"/>
              <w:left w:w="100" w:type="dxa"/>
              <w:bottom w:w="100" w:type="dxa"/>
              <w:right w:w="100" w:type="dxa"/>
            </w:tcMar>
          </w:tcPr>
          <w:p w14:paraId="6CB02D87"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 xml:space="preserve">Association of </w:t>
            </w:r>
            <w:proofErr w:type="spellStart"/>
            <w:r w:rsidRPr="00A631CB">
              <w:rPr>
                <w:rFonts w:asciiTheme="minorHAnsi" w:eastAsia="Calibri" w:hAnsiTheme="minorHAnsi" w:cstheme="minorHAnsi"/>
                <w:color w:val="000000" w:themeColor="text1"/>
                <w:sz w:val="18"/>
                <w:szCs w:val="18"/>
              </w:rPr>
              <w:t>Anaesthetists</w:t>
            </w:r>
            <w:proofErr w:type="spellEnd"/>
            <w:r w:rsidRPr="00A631CB">
              <w:rPr>
                <w:rFonts w:asciiTheme="minorHAnsi" w:eastAsia="Calibri" w:hAnsiTheme="minorHAnsi" w:cstheme="minorHAnsi"/>
                <w:color w:val="000000" w:themeColor="text1"/>
                <w:sz w:val="18"/>
                <w:szCs w:val="18"/>
              </w:rPr>
              <w:t xml:space="preserve">: </w:t>
            </w:r>
            <w:proofErr w:type="spellStart"/>
            <w:r w:rsidRPr="00A631CB">
              <w:rPr>
                <w:rFonts w:asciiTheme="minorHAnsi" w:eastAsia="Calibri" w:hAnsiTheme="minorHAnsi" w:cstheme="minorHAnsi"/>
                <w:color w:val="000000" w:themeColor="text1"/>
                <w:sz w:val="18"/>
                <w:szCs w:val="18"/>
              </w:rPr>
              <w:t>anaesthesia</w:t>
            </w:r>
            <w:proofErr w:type="spellEnd"/>
            <w:r w:rsidRPr="00A631CB">
              <w:rPr>
                <w:rFonts w:asciiTheme="minorHAnsi" w:eastAsia="Calibri" w:hAnsiTheme="minorHAnsi" w:cstheme="minorHAnsi"/>
                <w:color w:val="000000" w:themeColor="text1"/>
                <w:sz w:val="18"/>
                <w:szCs w:val="18"/>
              </w:rPr>
              <w:t xml:space="preserve"> and peri-operative care for Jehovah’s Witnesses and patients who refuse blood</w:t>
            </w:r>
            <w:r w:rsidRPr="00A631CB">
              <w:rPr>
                <w:rFonts w:asciiTheme="minorHAnsi" w:eastAsia="Calibri" w:hAnsiTheme="minorHAnsi" w:cstheme="minorHAnsi"/>
                <w:color w:val="000000" w:themeColor="text1"/>
                <w:sz w:val="18"/>
                <w:szCs w:val="18"/>
                <w:vertAlign w:val="superscript"/>
              </w:rPr>
              <w:t>25</w:t>
            </w:r>
          </w:p>
          <w:p w14:paraId="3DCF72C1"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Great Britain, 2018</w:t>
            </w:r>
          </w:p>
        </w:tc>
        <w:tc>
          <w:tcPr>
            <w:tcW w:w="1482" w:type="dxa"/>
          </w:tcPr>
          <w:p w14:paraId="67509036"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Guidelines</w:t>
            </w:r>
          </w:p>
          <w:p w14:paraId="18B94E32"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p>
        </w:tc>
        <w:tc>
          <w:tcPr>
            <w:tcW w:w="4677" w:type="dxa"/>
            <w:shd w:val="clear" w:color="auto" w:fill="auto"/>
            <w:tcMar>
              <w:top w:w="100" w:type="dxa"/>
              <w:left w:w="100" w:type="dxa"/>
              <w:bottom w:w="100" w:type="dxa"/>
              <w:right w:w="100" w:type="dxa"/>
            </w:tcMar>
          </w:tcPr>
          <w:p w14:paraId="17F9A131"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Providing a practical perioperative guide for clinicians treating patients who refuse blood is a useful resource for patients who wish to invoke this right.</w:t>
            </w:r>
          </w:p>
        </w:tc>
      </w:tr>
      <w:tr w:rsidR="00840612" w:rsidRPr="001D4902" w14:paraId="5C3E7BEE" w14:textId="77777777" w:rsidTr="00A631CB">
        <w:trPr>
          <w:trHeight w:val="20"/>
        </w:trPr>
        <w:tc>
          <w:tcPr>
            <w:tcW w:w="3818" w:type="dxa"/>
            <w:shd w:val="clear" w:color="auto" w:fill="auto"/>
            <w:tcMar>
              <w:top w:w="100" w:type="dxa"/>
              <w:left w:w="100" w:type="dxa"/>
              <w:bottom w:w="100" w:type="dxa"/>
              <w:right w:w="100" w:type="dxa"/>
            </w:tcMar>
          </w:tcPr>
          <w:p w14:paraId="2D0B2D5B"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 xml:space="preserve">Managing Injured Jehovah’s Witness Patients Where Blood Transfusion May Not Be </w:t>
            </w:r>
            <w:proofErr w:type="gramStart"/>
            <w:r w:rsidRPr="00A631CB">
              <w:rPr>
                <w:rFonts w:asciiTheme="minorHAnsi" w:eastAsia="Calibri" w:hAnsiTheme="minorHAnsi" w:cstheme="minorHAnsi"/>
                <w:color w:val="000000" w:themeColor="text1"/>
                <w:sz w:val="18"/>
                <w:szCs w:val="18"/>
              </w:rPr>
              <w:t>An</w:t>
            </w:r>
            <w:proofErr w:type="gramEnd"/>
            <w:r w:rsidRPr="00A631CB">
              <w:rPr>
                <w:rFonts w:asciiTheme="minorHAnsi" w:eastAsia="Calibri" w:hAnsiTheme="minorHAnsi" w:cstheme="minorHAnsi"/>
                <w:color w:val="000000" w:themeColor="text1"/>
                <w:sz w:val="18"/>
                <w:szCs w:val="18"/>
              </w:rPr>
              <w:t xml:space="preserve"> Option: A Retrospective Review</w:t>
            </w:r>
            <w:r w:rsidRPr="00A631CB">
              <w:rPr>
                <w:rFonts w:asciiTheme="minorHAnsi" w:eastAsia="Calibri" w:hAnsiTheme="minorHAnsi" w:cstheme="minorHAnsi"/>
                <w:color w:val="000000" w:themeColor="text1"/>
                <w:sz w:val="18"/>
                <w:szCs w:val="18"/>
                <w:vertAlign w:val="superscript"/>
              </w:rPr>
              <w:t>26</w:t>
            </w:r>
          </w:p>
          <w:p w14:paraId="20D7D6F3"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Australia, 2018</w:t>
            </w:r>
          </w:p>
        </w:tc>
        <w:tc>
          <w:tcPr>
            <w:tcW w:w="1482" w:type="dxa"/>
          </w:tcPr>
          <w:p w14:paraId="135DE86B"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Retrospective review</w:t>
            </w:r>
          </w:p>
        </w:tc>
        <w:tc>
          <w:tcPr>
            <w:tcW w:w="4677" w:type="dxa"/>
            <w:shd w:val="clear" w:color="auto" w:fill="auto"/>
            <w:tcMar>
              <w:top w:w="100" w:type="dxa"/>
              <w:left w:w="100" w:type="dxa"/>
              <w:bottom w:w="100" w:type="dxa"/>
              <w:right w:w="100" w:type="dxa"/>
            </w:tcMar>
          </w:tcPr>
          <w:p w14:paraId="14AA16EF"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Assess the management and outcomes of patients who self-identified as Jehovah’s Witnesses with traumatic hemorrhage in a large Australian trauma center.</w:t>
            </w:r>
          </w:p>
        </w:tc>
      </w:tr>
      <w:tr w:rsidR="00840612" w:rsidRPr="001D4902" w14:paraId="44923642" w14:textId="77777777" w:rsidTr="00A631CB">
        <w:trPr>
          <w:trHeight w:val="20"/>
        </w:trPr>
        <w:tc>
          <w:tcPr>
            <w:tcW w:w="3818" w:type="dxa"/>
            <w:shd w:val="clear" w:color="auto" w:fill="auto"/>
            <w:tcMar>
              <w:top w:w="100" w:type="dxa"/>
              <w:left w:w="100" w:type="dxa"/>
              <w:bottom w:w="100" w:type="dxa"/>
              <w:right w:w="100" w:type="dxa"/>
            </w:tcMar>
          </w:tcPr>
          <w:p w14:paraId="642540A3"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Caring for pregnant women for whom transfusion is not an option. A national review to assist in patient care</w:t>
            </w:r>
            <w:r w:rsidRPr="00A631CB">
              <w:rPr>
                <w:rFonts w:asciiTheme="minorHAnsi" w:eastAsia="Calibri" w:hAnsiTheme="minorHAnsi" w:cstheme="minorHAnsi"/>
                <w:color w:val="000000" w:themeColor="text1"/>
                <w:sz w:val="18"/>
                <w:szCs w:val="18"/>
                <w:vertAlign w:val="superscript"/>
              </w:rPr>
              <w:t>27</w:t>
            </w:r>
          </w:p>
          <w:p w14:paraId="042D8BA1"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Australia, 2016</w:t>
            </w:r>
          </w:p>
        </w:tc>
        <w:tc>
          <w:tcPr>
            <w:tcW w:w="1482" w:type="dxa"/>
          </w:tcPr>
          <w:p w14:paraId="3E4CEB3E"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27E984A3"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Develop a pragmatic approach to guide clinicians in their clinical practice.</w:t>
            </w:r>
          </w:p>
        </w:tc>
      </w:tr>
      <w:tr w:rsidR="00840612" w:rsidRPr="001D4902" w14:paraId="09839D5F" w14:textId="77777777" w:rsidTr="00A631CB">
        <w:trPr>
          <w:trHeight w:val="20"/>
        </w:trPr>
        <w:tc>
          <w:tcPr>
            <w:tcW w:w="3818" w:type="dxa"/>
            <w:shd w:val="clear" w:color="auto" w:fill="FFFFFF"/>
            <w:tcMar>
              <w:top w:w="100" w:type="dxa"/>
              <w:left w:w="100" w:type="dxa"/>
              <w:bottom w:w="100" w:type="dxa"/>
              <w:right w:w="100" w:type="dxa"/>
            </w:tcMar>
          </w:tcPr>
          <w:p w14:paraId="38386209"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Refusal of Medical Blood Transfusions Among Jehovah’s Witnesses: Emotion Regulation of the Dissonance of Saving and Sacrificing Life</w:t>
            </w:r>
            <w:r w:rsidRPr="00A631CB">
              <w:rPr>
                <w:rFonts w:asciiTheme="minorHAnsi" w:eastAsia="Calibri" w:hAnsiTheme="minorHAnsi" w:cstheme="minorHAnsi"/>
                <w:color w:val="000000" w:themeColor="text1"/>
                <w:sz w:val="18"/>
                <w:szCs w:val="18"/>
                <w:vertAlign w:val="superscript"/>
              </w:rPr>
              <w:t>28</w:t>
            </w:r>
          </w:p>
          <w:p w14:paraId="6615C7DD"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Norway, 2016</w:t>
            </w:r>
          </w:p>
        </w:tc>
        <w:tc>
          <w:tcPr>
            <w:tcW w:w="1482" w:type="dxa"/>
          </w:tcPr>
          <w:p w14:paraId="540E2F07"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Quantitative cross-sectional study</w:t>
            </w:r>
          </w:p>
        </w:tc>
        <w:tc>
          <w:tcPr>
            <w:tcW w:w="4677" w:type="dxa"/>
            <w:shd w:val="clear" w:color="auto" w:fill="FFFFFF"/>
            <w:tcMar>
              <w:top w:w="100" w:type="dxa"/>
              <w:left w:w="100" w:type="dxa"/>
              <w:bottom w:w="100" w:type="dxa"/>
              <w:right w:w="100" w:type="dxa"/>
            </w:tcMar>
          </w:tcPr>
          <w:p w14:paraId="3F2F029A"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Understand, not predict or control, how JWs deal with life-and-death dissonance.</w:t>
            </w:r>
          </w:p>
        </w:tc>
      </w:tr>
      <w:tr w:rsidR="00840612" w:rsidRPr="001D4902" w14:paraId="5F1F85D3" w14:textId="77777777" w:rsidTr="00A631CB">
        <w:trPr>
          <w:trHeight w:val="20"/>
        </w:trPr>
        <w:tc>
          <w:tcPr>
            <w:tcW w:w="3818" w:type="dxa"/>
            <w:shd w:val="clear" w:color="auto" w:fill="auto"/>
            <w:tcMar>
              <w:top w:w="100" w:type="dxa"/>
              <w:left w:w="100" w:type="dxa"/>
              <w:bottom w:w="100" w:type="dxa"/>
              <w:right w:w="100" w:type="dxa"/>
            </w:tcMar>
          </w:tcPr>
          <w:p w14:paraId="19390DAC"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Intraoperative Anemia and Single Red Blood Cell Transfusion During Cardiac Surgery: An Assessment of Postoperative Outcome Including Patients Refusing Blood Transfusion</w:t>
            </w:r>
            <w:r w:rsidRPr="00A631CB">
              <w:rPr>
                <w:rFonts w:asciiTheme="minorHAnsi" w:eastAsia="Calibri" w:hAnsiTheme="minorHAnsi" w:cstheme="minorHAnsi"/>
                <w:color w:val="000000" w:themeColor="text1"/>
                <w:sz w:val="18"/>
                <w:szCs w:val="18"/>
                <w:vertAlign w:val="superscript"/>
              </w:rPr>
              <w:t>29</w:t>
            </w:r>
          </w:p>
          <w:p w14:paraId="3CCE2FE3"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Netherlands, 2016</w:t>
            </w:r>
          </w:p>
        </w:tc>
        <w:tc>
          <w:tcPr>
            <w:tcW w:w="1482" w:type="dxa"/>
          </w:tcPr>
          <w:p w14:paraId="152A657C"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Cohort study</w:t>
            </w:r>
          </w:p>
        </w:tc>
        <w:tc>
          <w:tcPr>
            <w:tcW w:w="4677" w:type="dxa"/>
            <w:shd w:val="clear" w:color="auto" w:fill="FFFFFF"/>
            <w:tcMar>
              <w:top w:w="100" w:type="dxa"/>
              <w:left w:w="100" w:type="dxa"/>
              <w:bottom w:w="100" w:type="dxa"/>
              <w:right w:w="100" w:type="dxa"/>
            </w:tcMar>
          </w:tcPr>
          <w:p w14:paraId="1683F375"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Examine the association between uncorrected hemoglobin levels and selected postoperative outcomes, as well as erythrocyte effects</w:t>
            </w:r>
          </w:p>
        </w:tc>
      </w:tr>
      <w:tr w:rsidR="00840612" w:rsidRPr="001D4902" w14:paraId="35C50C13" w14:textId="77777777" w:rsidTr="00A631CB">
        <w:trPr>
          <w:trHeight w:val="20"/>
        </w:trPr>
        <w:tc>
          <w:tcPr>
            <w:tcW w:w="3818" w:type="dxa"/>
            <w:shd w:val="clear" w:color="auto" w:fill="FFFFFF"/>
            <w:tcMar>
              <w:top w:w="100" w:type="dxa"/>
              <w:left w:w="100" w:type="dxa"/>
              <w:bottom w:w="100" w:type="dxa"/>
              <w:right w:w="100" w:type="dxa"/>
            </w:tcMar>
          </w:tcPr>
          <w:p w14:paraId="575DE3F1"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Management of massive bleeding in a Jehovah’s Witness obstetric patient: The overwhelming importance of a pre-established multidisciplinary protocol</w:t>
            </w:r>
            <w:r w:rsidRPr="00A631CB">
              <w:rPr>
                <w:rFonts w:asciiTheme="minorHAnsi" w:eastAsia="Calibri" w:hAnsiTheme="minorHAnsi" w:cstheme="minorHAnsi"/>
                <w:color w:val="000000" w:themeColor="text1"/>
                <w:sz w:val="18"/>
                <w:szCs w:val="18"/>
                <w:vertAlign w:val="superscript"/>
              </w:rPr>
              <w:t>30</w:t>
            </w:r>
          </w:p>
          <w:p w14:paraId="47FE6ACB"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Spain, 2016</w:t>
            </w:r>
          </w:p>
        </w:tc>
        <w:tc>
          <w:tcPr>
            <w:tcW w:w="1482" w:type="dxa"/>
          </w:tcPr>
          <w:p w14:paraId="128079D3"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FFFFFF"/>
            <w:tcMar>
              <w:top w:w="100" w:type="dxa"/>
              <w:left w:w="100" w:type="dxa"/>
              <w:bottom w:w="100" w:type="dxa"/>
              <w:right w:w="100" w:type="dxa"/>
            </w:tcMar>
          </w:tcPr>
          <w:p w14:paraId="65CE48A0"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To present a protocol for the management of massive postoperative hemorrhages successfully applied to a Jehovah’s Witness patient after a cesarean section.</w:t>
            </w:r>
          </w:p>
        </w:tc>
      </w:tr>
      <w:tr w:rsidR="00840612" w:rsidRPr="001D4902" w14:paraId="21872C02" w14:textId="77777777" w:rsidTr="00A631CB">
        <w:trPr>
          <w:trHeight w:val="20"/>
        </w:trPr>
        <w:tc>
          <w:tcPr>
            <w:tcW w:w="3818" w:type="dxa"/>
            <w:shd w:val="clear" w:color="auto" w:fill="FFFFFF"/>
            <w:tcMar>
              <w:top w:w="100" w:type="dxa"/>
              <w:left w:w="100" w:type="dxa"/>
              <w:bottom w:w="100" w:type="dxa"/>
              <w:right w:w="100" w:type="dxa"/>
            </w:tcMar>
          </w:tcPr>
          <w:p w14:paraId="636D0898"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Blood transfusion and Jehovah’s Witnesses revisited:</w:t>
            </w:r>
          </w:p>
          <w:p w14:paraId="68EFAB4C"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Implications for surgeons</w:t>
            </w:r>
            <w:r w:rsidRPr="00A631CB">
              <w:rPr>
                <w:rFonts w:asciiTheme="minorHAnsi" w:eastAsia="Calibri" w:hAnsiTheme="minorHAnsi" w:cstheme="minorHAnsi"/>
                <w:color w:val="000000" w:themeColor="text1"/>
                <w:sz w:val="18"/>
                <w:szCs w:val="18"/>
                <w:vertAlign w:val="superscript"/>
              </w:rPr>
              <w:t>31</w:t>
            </w:r>
          </w:p>
          <w:p w14:paraId="4D8B7B05"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China, 2012</w:t>
            </w:r>
          </w:p>
        </w:tc>
        <w:tc>
          <w:tcPr>
            <w:tcW w:w="1482" w:type="dxa"/>
          </w:tcPr>
          <w:p w14:paraId="1486CD8F"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FFFFFF"/>
            <w:tcMar>
              <w:top w:w="100" w:type="dxa"/>
              <w:left w:w="100" w:type="dxa"/>
              <w:bottom w:w="100" w:type="dxa"/>
              <w:right w:w="100" w:type="dxa"/>
            </w:tcMar>
          </w:tcPr>
          <w:p w14:paraId="1288B4A7"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Discuss the background to this conflict, suggested solutions, legal precedents and how authorities can help deal with this difficult dilemma.</w:t>
            </w:r>
          </w:p>
        </w:tc>
      </w:tr>
      <w:tr w:rsidR="00840612" w:rsidRPr="001D4902" w14:paraId="51BAE682" w14:textId="77777777" w:rsidTr="00A631CB">
        <w:trPr>
          <w:trHeight w:val="20"/>
        </w:trPr>
        <w:tc>
          <w:tcPr>
            <w:tcW w:w="3818" w:type="dxa"/>
            <w:shd w:val="clear" w:color="auto" w:fill="auto"/>
            <w:tcMar>
              <w:top w:w="100" w:type="dxa"/>
              <w:left w:w="100" w:type="dxa"/>
              <w:bottom w:w="100" w:type="dxa"/>
              <w:right w:w="100" w:type="dxa"/>
            </w:tcMar>
          </w:tcPr>
          <w:p w14:paraId="59B00B30"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Guidelines for the Management of Conscious Objects to Blood Transfusion</w:t>
            </w:r>
            <w:r w:rsidRPr="00A631CB">
              <w:rPr>
                <w:rFonts w:asciiTheme="minorHAnsi" w:eastAsia="Calibri" w:hAnsiTheme="minorHAnsi" w:cstheme="minorHAnsi"/>
                <w:color w:val="000000" w:themeColor="text1"/>
                <w:sz w:val="18"/>
                <w:szCs w:val="18"/>
                <w:vertAlign w:val="superscript"/>
              </w:rPr>
              <w:t>32</w:t>
            </w:r>
          </w:p>
          <w:p w14:paraId="51AA0EB2"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Japan, 2009</w:t>
            </w:r>
          </w:p>
        </w:tc>
        <w:tc>
          <w:tcPr>
            <w:tcW w:w="1482" w:type="dxa"/>
          </w:tcPr>
          <w:p w14:paraId="7620712B"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Guidelines</w:t>
            </w:r>
          </w:p>
        </w:tc>
        <w:tc>
          <w:tcPr>
            <w:tcW w:w="4677" w:type="dxa"/>
            <w:shd w:val="clear" w:color="auto" w:fill="auto"/>
            <w:tcMar>
              <w:top w:w="100" w:type="dxa"/>
              <w:left w:w="100" w:type="dxa"/>
              <w:bottom w:w="100" w:type="dxa"/>
              <w:right w:w="100" w:type="dxa"/>
            </w:tcMar>
          </w:tcPr>
          <w:p w14:paraId="55A262F3"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Create guidelines for the management of patients who refuse blood transfusions for religious reasons.</w:t>
            </w:r>
          </w:p>
        </w:tc>
      </w:tr>
      <w:tr w:rsidR="00840612" w:rsidRPr="001D4902" w14:paraId="6CAB4F40" w14:textId="77777777" w:rsidTr="00A631CB">
        <w:trPr>
          <w:trHeight w:val="988"/>
        </w:trPr>
        <w:tc>
          <w:tcPr>
            <w:tcW w:w="3818" w:type="dxa"/>
            <w:shd w:val="clear" w:color="auto" w:fill="auto"/>
            <w:tcMar>
              <w:top w:w="100" w:type="dxa"/>
              <w:left w:w="100" w:type="dxa"/>
              <w:bottom w:w="100" w:type="dxa"/>
              <w:right w:w="100" w:type="dxa"/>
            </w:tcMar>
          </w:tcPr>
          <w:p w14:paraId="0A29E817"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Jehovah’s Witnesses refusal of blood: religious, legal and ethical aspects and considerations for anesthetic management</w:t>
            </w:r>
            <w:r w:rsidRPr="00A631CB">
              <w:rPr>
                <w:rFonts w:asciiTheme="minorHAnsi" w:eastAsia="Calibri" w:hAnsiTheme="minorHAnsi" w:cstheme="minorHAnsi"/>
                <w:color w:val="000000" w:themeColor="text1"/>
                <w:sz w:val="18"/>
                <w:szCs w:val="18"/>
                <w:vertAlign w:val="superscript"/>
              </w:rPr>
              <w:t>33</w:t>
            </w:r>
          </w:p>
          <w:p w14:paraId="04B96C30"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Spain, 2006</w:t>
            </w:r>
          </w:p>
        </w:tc>
        <w:tc>
          <w:tcPr>
            <w:tcW w:w="1482" w:type="dxa"/>
          </w:tcPr>
          <w:p w14:paraId="059AE44E"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Literature review</w:t>
            </w:r>
          </w:p>
        </w:tc>
        <w:tc>
          <w:tcPr>
            <w:tcW w:w="4677" w:type="dxa"/>
            <w:shd w:val="clear" w:color="auto" w:fill="auto"/>
            <w:tcMar>
              <w:top w:w="100" w:type="dxa"/>
              <w:left w:w="100" w:type="dxa"/>
              <w:bottom w:w="100" w:type="dxa"/>
              <w:right w:w="100" w:type="dxa"/>
            </w:tcMar>
          </w:tcPr>
          <w:p w14:paraId="22352A7A"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Review the grounds for refusing blood transfusions by Jehovah’s Witnesses, as well as the ethical, legal and anesthetic considerations in their treatment.</w:t>
            </w:r>
          </w:p>
        </w:tc>
      </w:tr>
      <w:tr w:rsidR="00840612" w:rsidRPr="001D4902" w14:paraId="52E8A7D8" w14:textId="77777777" w:rsidTr="00A631CB">
        <w:trPr>
          <w:trHeight w:val="721"/>
        </w:trPr>
        <w:tc>
          <w:tcPr>
            <w:tcW w:w="3818" w:type="dxa"/>
            <w:shd w:val="clear" w:color="auto" w:fill="FFFFFF"/>
            <w:tcMar>
              <w:top w:w="100" w:type="dxa"/>
              <w:left w:w="100" w:type="dxa"/>
              <w:bottom w:w="100" w:type="dxa"/>
              <w:right w:w="100" w:type="dxa"/>
            </w:tcMar>
          </w:tcPr>
          <w:p w14:paraId="030C4EA7"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 xml:space="preserve">Evaluation of a guideline for </w:t>
            </w:r>
            <w:proofErr w:type="spellStart"/>
            <w:r w:rsidRPr="00A631CB">
              <w:rPr>
                <w:rFonts w:asciiTheme="minorHAnsi" w:eastAsia="Calibri" w:hAnsiTheme="minorHAnsi" w:cstheme="minorHAnsi"/>
                <w:color w:val="000000" w:themeColor="text1"/>
                <w:sz w:val="18"/>
                <w:szCs w:val="18"/>
              </w:rPr>
              <w:t>Jehova’s</w:t>
            </w:r>
            <w:proofErr w:type="spellEnd"/>
            <w:r w:rsidRPr="00A631CB">
              <w:rPr>
                <w:rFonts w:asciiTheme="minorHAnsi" w:eastAsia="Calibri" w:hAnsiTheme="minorHAnsi" w:cstheme="minorHAnsi"/>
                <w:color w:val="000000" w:themeColor="text1"/>
                <w:sz w:val="18"/>
                <w:szCs w:val="18"/>
              </w:rPr>
              <w:t xml:space="preserve"> Witnesses in a surgical practice</w:t>
            </w:r>
            <w:r w:rsidRPr="00A631CB">
              <w:rPr>
                <w:rFonts w:asciiTheme="minorHAnsi" w:eastAsia="Calibri" w:hAnsiTheme="minorHAnsi" w:cstheme="minorHAnsi"/>
                <w:color w:val="000000" w:themeColor="text1"/>
                <w:sz w:val="18"/>
                <w:szCs w:val="18"/>
                <w:vertAlign w:val="superscript"/>
              </w:rPr>
              <w:t>34</w:t>
            </w:r>
          </w:p>
          <w:p w14:paraId="0A320EA6"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Spain, 2005</w:t>
            </w:r>
          </w:p>
        </w:tc>
        <w:tc>
          <w:tcPr>
            <w:tcW w:w="1482" w:type="dxa"/>
          </w:tcPr>
          <w:p w14:paraId="74295C1A" w14:textId="77777777" w:rsidR="00840612" w:rsidRPr="00A631CB" w:rsidRDefault="00840612" w:rsidP="00A631CB">
            <w:pPr>
              <w:spacing w:after="0" w:line="240" w:lineRule="auto"/>
              <w:jc w:val="center"/>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Opinion article</w:t>
            </w:r>
          </w:p>
        </w:tc>
        <w:tc>
          <w:tcPr>
            <w:tcW w:w="4677" w:type="dxa"/>
            <w:shd w:val="clear" w:color="auto" w:fill="auto"/>
            <w:tcMar>
              <w:top w:w="100" w:type="dxa"/>
              <w:left w:w="100" w:type="dxa"/>
              <w:bottom w:w="100" w:type="dxa"/>
              <w:right w:w="100" w:type="dxa"/>
            </w:tcMar>
          </w:tcPr>
          <w:p w14:paraId="71BF4C8D" w14:textId="77777777" w:rsidR="00840612" w:rsidRPr="00A631CB" w:rsidRDefault="00840612" w:rsidP="00A631CB">
            <w:pPr>
              <w:spacing w:after="0" w:line="240" w:lineRule="auto"/>
              <w:rPr>
                <w:rFonts w:asciiTheme="minorHAnsi" w:eastAsia="Calibri" w:hAnsiTheme="minorHAnsi" w:cstheme="minorHAnsi"/>
                <w:color w:val="000000" w:themeColor="text1"/>
                <w:sz w:val="18"/>
                <w:szCs w:val="18"/>
              </w:rPr>
            </w:pPr>
            <w:r w:rsidRPr="00A631CB">
              <w:rPr>
                <w:rFonts w:asciiTheme="minorHAnsi" w:eastAsia="Calibri" w:hAnsiTheme="minorHAnsi" w:cstheme="minorHAnsi"/>
                <w:color w:val="000000" w:themeColor="text1"/>
                <w:sz w:val="18"/>
                <w:szCs w:val="18"/>
              </w:rPr>
              <w:t>Create guidelines for the management of patients who refuse blood transfusions for religious reasons.</w:t>
            </w:r>
          </w:p>
        </w:tc>
      </w:tr>
    </w:tbl>
    <w:p w14:paraId="427BF597" w14:textId="49F16ED1" w:rsidR="00840612" w:rsidRPr="00A631CB" w:rsidRDefault="00A631CB" w:rsidP="00A631CB">
      <w:pPr>
        <w:spacing w:after="120" w:line="240" w:lineRule="auto"/>
        <w:jc w:val="both"/>
        <w:rPr>
          <w:rFonts w:ascii="Calibri" w:eastAsia="Calibri" w:hAnsi="Calibri" w:cs="Calibri"/>
          <w:color w:val="000000" w:themeColor="text1"/>
          <w:sz w:val="16"/>
          <w:szCs w:val="16"/>
        </w:rPr>
      </w:pPr>
      <w:r w:rsidRPr="00A631CB">
        <w:rPr>
          <w:rFonts w:ascii="Calibri" w:eastAsia="Calibri" w:hAnsi="Calibri" w:cs="Calibri"/>
          <w:b/>
          <w:color w:val="000000" w:themeColor="text1"/>
          <w:sz w:val="16"/>
          <w:szCs w:val="16"/>
        </w:rPr>
        <w:t xml:space="preserve">FIGURE </w:t>
      </w:r>
      <w:r w:rsidR="00840612" w:rsidRPr="00A631CB">
        <w:rPr>
          <w:rFonts w:ascii="Calibri" w:eastAsia="Calibri" w:hAnsi="Calibri" w:cs="Calibri"/>
          <w:b/>
          <w:color w:val="000000" w:themeColor="text1"/>
          <w:sz w:val="16"/>
          <w:szCs w:val="16"/>
        </w:rPr>
        <w:t>3:</w:t>
      </w:r>
      <w:r w:rsidR="00840612" w:rsidRPr="00A631CB">
        <w:rPr>
          <w:rFonts w:ascii="Calibri" w:eastAsia="Calibri" w:hAnsi="Calibri" w:cs="Calibri"/>
          <w:color w:val="000000" w:themeColor="text1"/>
          <w:sz w:val="16"/>
          <w:szCs w:val="16"/>
        </w:rPr>
        <w:t xml:space="preserve"> Scope - synthesis of articles published outside the American continent. Rio de Janeiro, RJ, Brazil, 2020.</w:t>
      </w:r>
    </w:p>
    <w:p w14:paraId="28897FD1"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p>
    <w:bookmarkEnd w:id="1"/>
    <w:p w14:paraId="3DF94639" w14:textId="07676945"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The extraction and analysis of data enabled identifying three thematic categories: Alternative strategies to the use of blood components; Bioethical approach when there is refusal by a Jehovah’s Witness patient; and Legal approach when there is refusal by a Jehovah’s Witness patient. The studies floated their discussions by more than one approach, with a synthesis presented in Figure</w:t>
      </w:r>
      <w:r w:rsidR="008B3FCD">
        <w:rPr>
          <w:rFonts w:ascii="Calibri" w:eastAsia="Calibri" w:hAnsi="Calibri" w:cs="Calibri"/>
          <w:color w:val="000000" w:themeColor="text1"/>
          <w:sz w:val="20"/>
          <w:szCs w:val="20"/>
        </w:rPr>
        <w:t>s</w:t>
      </w:r>
      <w:r w:rsidRPr="001D4902">
        <w:rPr>
          <w:rFonts w:ascii="Calibri" w:eastAsia="Calibri" w:hAnsi="Calibri" w:cs="Calibri"/>
          <w:color w:val="000000" w:themeColor="text1"/>
          <w:sz w:val="20"/>
          <w:szCs w:val="20"/>
        </w:rPr>
        <w:t xml:space="preserve"> 4</w:t>
      </w:r>
      <w:r w:rsidR="008B3FCD">
        <w:rPr>
          <w:rFonts w:ascii="Calibri" w:eastAsia="Calibri" w:hAnsi="Calibri" w:cs="Calibri"/>
          <w:color w:val="000000" w:themeColor="text1"/>
          <w:sz w:val="20"/>
          <w:szCs w:val="20"/>
        </w:rPr>
        <w:t xml:space="preserve"> and 5</w:t>
      </w:r>
      <w:r w:rsidRPr="001D4902">
        <w:rPr>
          <w:rFonts w:ascii="Calibri" w:eastAsia="Calibri" w:hAnsi="Calibri" w:cs="Calibri"/>
          <w:color w:val="000000" w:themeColor="text1"/>
          <w:sz w:val="20"/>
          <w:szCs w:val="20"/>
        </w:rPr>
        <w:t>.</w:t>
      </w:r>
    </w:p>
    <w:p w14:paraId="39378F8D" w14:textId="77777777" w:rsidR="00A631CB" w:rsidRDefault="00A631CB">
      <w: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840612" w:rsidRPr="001D4902" w14:paraId="0A9AF13C" w14:textId="77777777" w:rsidTr="00FD637B">
        <w:tc>
          <w:tcPr>
            <w:tcW w:w="9634" w:type="dxa"/>
          </w:tcPr>
          <w:p w14:paraId="1F07D59F" w14:textId="50466FB0" w:rsidR="00840612" w:rsidRPr="00BE4B33" w:rsidRDefault="00840612" w:rsidP="00A631CB">
            <w:pPr>
              <w:spacing w:after="0" w:line="240" w:lineRule="auto"/>
              <w:ind w:firstLine="27"/>
              <w:jc w:val="both"/>
              <w:rPr>
                <w:rFonts w:asciiTheme="minorHAnsi" w:eastAsia="Calibri" w:hAnsiTheme="minorHAnsi" w:cstheme="minorHAnsi"/>
                <w:b/>
                <w:color w:val="000000" w:themeColor="text1"/>
                <w:sz w:val="18"/>
                <w:szCs w:val="18"/>
              </w:rPr>
            </w:pPr>
            <w:r w:rsidRPr="00BE4B33">
              <w:rPr>
                <w:rFonts w:asciiTheme="minorHAnsi" w:eastAsia="Calibri" w:hAnsiTheme="minorHAnsi" w:cstheme="minorHAnsi"/>
                <w:b/>
                <w:color w:val="000000" w:themeColor="text1"/>
                <w:sz w:val="18"/>
                <w:szCs w:val="18"/>
              </w:rPr>
              <w:lastRenderedPageBreak/>
              <w:t>Category 1: Alternative strategies to the use of blood components</w:t>
            </w:r>
          </w:p>
        </w:tc>
      </w:tr>
      <w:tr w:rsidR="00840612" w:rsidRPr="001D4902" w14:paraId="0FB83319" w14:textId="77777777" w:rsidTr="00FD637B">
        <w:tc>
          <w:tcPr>
            <w:tcW w:w="9634" w:type="dxa"/>
          </w:tcPr>
          <w:p w14:paraId="75252E4F"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hemoglobin-based oxygen carriers</w:t>
            </w:r>
            <w:r w:rsidRPr="00BE4B33">
              <w:rPr>
                <w:rFonts w:asciiTheme="minorHAnsi" w:eastAsia="Calibri" w:hAnsiTheme="minorHAnsi" w:cstheme="minorHAnsi"/>
                <w:color w:val="000000" w:themeColor="text1"/>
                <w:sz w:val="18"/>
                <w:szCs w:val="18"/>
                <w:vertAlign w:val="superscript"/>
              </w:rPr>
              <w:t>15,17,26</w:t>
            </w:r>
            <w:r w:rsidRPr="00BE4B33">
              <w:rPr>
                <w:rFonts w:asciiTheme="minorHAnsi" w:eastAsia="Calibri" w:hAnsiTheme="minorHAnsi" w:cstheme="minorHAnsi"/>
                <w:color w:val="000000" w:themeColor="text1"/>
                <w:sz w:val="18"/>
                <w:szCs w:val="18"/>
              </w:rPr>
              <w:t>;</w:t>
            </w:r>
          </w:p>
          <w:p w14:paraId="2E6E90A6"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Administer fibrinogen concentrate</w:t>
            </w:r>
            <w:r w:rsidRPr="00BE4B33">
              <w:rPr>
                <w:rFonts w:asciiTheme="minorHAnsi" w:eastAsia="Calibri" w:hAnsiTheme="minorHAnsi" w:cstheme="minorHAnsi"/>
                <w:color w:val="000000" w:themeColor="text1"/>
                <w:sz w:val="18"/>
                <w:szCs w:val="18"/>
                <w:vertAlign w:val="superscript"/>
              </w:rPr>
              <w:t>17,19</w:t>
            </w:r>
            <w:r w:rsidRPr="00BE4B33">
              <w:rPr>
                <w:rFonts w:asciiTheme="minorHAnsi" w:eastAsia="Calibri" w:hAnsiTheme="minorHAnsi" w:cstheme="minorHAnsi"/>
                <w:color w:val="000000" w:themeColor="text1"/>
                <w:sz w:val="18"/>
                <w:szCs w:val="18"/>
              </w:rPr>
              <w:t>;</w:t>
            </w:r>
          </w:p>
          <w:p w14:paraId="62B0053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bloodless volume expanders (crystalloids and colloids)</w:t>
            </w:r>
            <w:r w:rsidRPr="00BE4B33">
              <w:rPr>
                <w:rFonts w:asciiTheme="minorHAnsi" w:eastAsia="Calibri" w:hAnsiTheme="minorHAnsi" w:cstheme="minorHAnsi"/>
                <w:color w:val="000000" w:themeColor="text1"/>
                <w:sz w:val="18"/>
                <w:szCs w:val="18"/>
                <w:vertAlign w:val="superscript"/>
              </w:rPr>
              <w:t>19,22,24,31</w:t>
            </w:r>
            <w:r w:rsidRPr="00BE4B33">
              <w:rPr>
                <w:rFonts w:asciiTheme="minorHAnsi" w:eastAsia="Calibri" w:hAnsiTheme="minorHAnsi" w:cstheme="minorHAnsi"/>
                <w:color w:val="000000" w:themeColor="text1"/>
                <w:sz w:val="18"/>
                <w:szCs w:val="18"/>
              </w:rPr>
              <w:t>;</w:t>
            </w:r>
          </w:p>
          <w:p w14:paraId="15C447A7"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vertAlign w:val="superscript"/>
              </w:rPr>
            </w:pPr>
            <w:r w:rsidRPr="00BE4B33">
              <w:rPr>
                <w:rFonts w:asciiTheme="minorHAnsi" w:eastAsia="Calibri" w:hAnsiTheme="minorHAnsi" w:cstheme="minorHAnsi"/>
                <w:color w:val="000000" w:themeColor="text1"/>
                <w:sz w:val="18"/>
                <w:szCs w:val="18"/>
              </w:rPr>
              <w:t>Use systemic agents to improve hemostasis and the activity of clotting factors: protamine sulfate, vitamin K, prothrombin complexes, aprotinin, aminocaproic acid and tranexamic acid; factor VII; Concentrated factor prothrombin complex; Cryoprecipitate, desmopressin, conjugated estrogens; clotting factors without albumin; topical hemostatic agents, calcium, magnesium gluconate; erythropoietin, iron, folic acid, vitamin C and B12</w:t>
            </w:r>
            <w:r w:rsidRPr="00BE4B33">
              <w:rPr>
                <w:rFonts w:asciiTheme="minorHAnsi" w:eastAsia="Calibri" w:hAnsiTheme="minorHAnsi" w:cstheme="minorHAnsi"/>
                <w:color w:val="000000" w:themeColor="text1"/>
                <w:sz w:val="18"/>
                <w:szCs w:val="18"/>
                <w:vertAlign w:val="superscript"/>
              </w:rPr>
              <w:t>15-17,19,22-24,26,27,30,31,33</w:t>
            </w:r>
            <w:r w:rsidRPr="00BE4B33">
              <w:rPr>
                <w:rFonts w:asciiTheme="minorHAnsi" w:eastAsia="Calibri" w:hAnsiTheme="minorHAnsi" w:cstheme="minorHAnsi"/>
                <w:color w:val="000000" w:themeColor="text1"/>
                <w:sz w:val="18"/>
                <w:szCs w:val="18"/>
              </w:rPr>
              <w:t xml:space="preserve">; </w:t>
            </w:r>
          </w:p>
          <w:p w14:paraId="25FD8825"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Performing a good anamnesis (recognizing risk factors for bleeding or anemia can help clinicians predict/realize the need for preventive or control measures)</w:t>
            </w:r>
            <w:r w:rsidRPr="00BE4B33">
              <w:rPr>
                <w:rFonts w:asciiTheme="minorHAnsi" w:eastAsia="Calibri" w:hAnsiTheme="minorHAnsi" w:cstheme="minorHAnsi"/>
                <w:color w:val="000000" w:themeColor="text1"/>
                <w:sz w:val="18"/>
                <w:szCs w:val="18"/>
                <w:vertAlign w:val="superscript"/>
              </w:rPr>
              <w:t>20,24,25,30,31</w:t>
            </w:r>
            <w:r w:rsidRPr="00BE4B33">
              <w:rPr>
                <w:rFonts w:asciiTheme="minorHAnsi" w:eastAsia="Calibri" w:hAnsiTheme="minorHAnsi" w:cstheme="minorHAnsi"/>
                <w:color w:val="000000" w:themeColor="text1"/>
                <w:sz w:val="18"/>
                <w:szCs w:val="18"/>
              </w:rPr>
              <w:t>;</w:t>
            </w:r>
          </w:p>
          <w:p w14:paraId="0A5CA8F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Avoid unnecessary blood tests</w:t>
            </w:r>
            <w:r w:rsidRPr="00BE4B33">
              <w:rPr>
                <w:rFonts w:asciiTheme="minorHAnsi" w:eastAsia="Calibri" w:hAnsiTheme="minorHAnsi" w:cstheme="minorHAnsi"/>
                <w:color w:val="000000" w:themeColor="text1"/>
                <w:sz w:val="18"/>
                <w:szCs w:val="18"/>
                <w:vertAlign w:val="superscript"/>
              </w:rPr>
              <w:t>15,23,24,26,27,31</w:t>
            </w:r>
            <w:r w:rsidRPr="00BE4B33">
              <w:rPr>
                <w:rFonts w:asciiTheme="minorHAnsi" w:eastAsia="Calibri" w:hAnsiTheme="minorHAnsi" w:cstheme="minorHAnsi"/>
                <w:color w:val="000000" w:themeColor="text1"/>
                <w:sz w:val="18"/>
                <w:szCs w:val="18"/>
              </w:rPr>
              <w:t>;</w:t>
            </w:r>
          </w:p>
          <w:p w14:paraId="1FC9F38E"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a pediatric blood collection bottle</w:t>
            </w:r>
            <w:r w:rsidRPr="00BE4B33">
              <w:rPr>
                <w:rFonts w:asciiTheme="minorHAnsi" w:eastAsia="Calibri" w:hAnsiTheme="minorHAnsi" w:cstheme="minorHAnsi"/>
                <w:color w:val="000000" w:themeColor="text1"/>
                <w:sz w:val="18"/>
                <w:szCs w:val="18"/>
                <w:vertAlign w:val="superscript"/>
              </w:rPr>
              <w:t>15,23,25-27,31</w:t>
            </w:r>
            <w:r w:rsidRPr="00BE4B33">
              <w:rPr>
                <w:rFonts w:asciiTheme="minorHAnsi" w:eastAsia="Calibri" w:hAnsiTheme="minorHAnsi" w:cstheme="minorHAnsi"/>
                <w:color w:val="000000" w:themeColor="text1"/>
                <w:sz w:val="18"/>
                <w:szCs w:val="18"/>
              </w:rPr>
              <w:t>;</w:t>
            </w:r>
          </w:p>
          <w:p w14:paraId="21914570"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Perform laboratory tests 6 weeks before surgery to detect and treat iron deficiency</w:t>
            </w:r>
            <w:r w:rsidRPr="00BE4B33">
              <w:rPr>
                <w:rFonts w:asciiTheme="minorHAnsi" w:eastAsia="Calibri" w:hAnsiTheme="minorHAnsi" w:cstheme="minorHAnsi"/>
                <w:color w:val="000000" w:themeColor="text1"/>
                <w:sz w:val="18"/>
                <w:szCs w:val="18"/>
                <w:vertAlign w:val="superscript"/>
              </w:rPr>
              <w:t>19,25,26,30,31</w:t>
            </w:r>
            <w:r w:rsidRPr="00BE4B33">
              <w:rPr>
                <w:rFonts w:asciiTheme="minorHAnsi" w:eastAsia="Calibri" w:hAnsiTheme="minorHAnsi" w:cstheme="minorHAnsi"/>
                <w:color w:val="000000" w:themeColor="text1"/>
                <w:sz w:val="18"/>
                <w:szCs w:val="18"/>
              </w:rPr>
              <w:t>;</w:t>
            </w:r>
          </w:p>
          <w:p w14:paraId="5D218BAA"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Consider discontinuation of anticoagulants and antiplatelet agents</w:t>
            </w:r>
            <w:r w:rsidRPr="00BE4B33">
              <w:rPr>
                <w:rFonts w:asciiTheme="minorHAnsi" w:eastAsia="Calibri" w:hAnsiTheme="minorHAnsi" w:cstheme="minorHAnsi"/>
                <w:color w:val="000000" w:themeColor="text1"/>
                <w:sz w:val="18"/>
                <w:szCs w:val="18"/>
                <w:vertAlign w:val="superscript"/>
              </w:rPr>
              <w:t>16,17,24,25,27,30,31,33</w:t>
            </w:r>
            <w:r w:rsidRPr="00BE4B33">
              <w:rPr>
                <w:rFonts w:asciiTheme="minorHAnsi" w:eastAsia="Calibri" w:hAnsiTheme="minorHAnsi" w:cstheme="minorHAnsi"/>
                <w:color w:val="000000" w:themeColor="text1"/>
                <w:sz w:val="18"/>
                <w:szCs w:val="18"/>
              </w:rPr>
              <w:t>;</w:t>
            </w:r>
          </w:p>
          <w:p w14:paraId="6AF7D884"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Treat any degree of anemia</w:t>
            </w:r>
            <w:r w:rsidRPr="00BE4B33">
              <w:rPr>
                <w:rFonts w:asciiTheme="minorHAnsi" w:eastAsia="Calibri" w:hAnsiTheme="minorHAnsi" w:cstheme="minorHAnsi"/>
                <w:color w:val="000000" w:themeColor="text1"/>
                <w:sz w:val="18"/>
                <w:szCs w:val="18"/>
                <w:vertAlign w:val="superscript"/>
              </w:rPr>
              <w:t>17,19</w:t>
            </w:r>
            <w:r w:rsidRPr="00BE4B33">
              <w:rPr>
                <w:rFonts w:asciiTheme="minorHAnsi" w:eastAsia="Calibri" w:hAnsiTheme="minorHAnsi" w:cstheme="minorHAnsi"/>
                <w:color w:val="000000" w:themeColor="text1"/>
                <w:sz w:val="18"/>
                <w:szCs w:val="18"/>
              </w:rPr>
              <w:t>;</w:t>
            </w:r>
          </w:p>
          <w:p w14:paraId="413A1F0A"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Consult specialists who already have experience in the care of patients without blood transfusion</w:t>
            </w:r>
            <w:r w:rsidRPr="00BE4B33">
              <w:rPr>
                <w:rFonts w:asciiTheme="minorHAnsi" w:eastAsia="Calibri" w:hAnsiTheme="minorHAnsi" w:cstheme="minorHAnsi"/>
                <w:color w:val="000000" w:themeColor="text1"/>
                <w:sz w:val="18"/>
                <w:szCs w:val="18"/>
                <w:vertAlign w:val="superscript"/>
              </w:rPr>
              <w:t>20,24,26,30</w:t>
            </w:r>
            <w:r w:rsidRPr="00BE4B33">
              <w:rPr>
                <w:rFonts w:asciiTheme="minorHAnsi" w:eastAsia="Calibri" w:hAnsiTheme="minorHAnsi" w:cstheme="minorHAnsi"/>
                <w:color w:val="000000" w:themeColor="text1"/>
                <w:sz w:val="18"/>
                <w:szCs w:val="18"/>
              </w:rPr>
              <w:t>;</w:t>
            </w:r>
          </w:p>
          <w:p w14:paraId="6DC58970"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Pay attention to blood in the stool and use stool softeners</w:t>
            </w:r>
            <w:r w:rsidRPr="00BE4B33">
              <w:rPr>
                <w:rFonts w:asciiTheme="minorHAnsi" w:eastAsia="Calibri" w:hAnsiTheme="minorHAnsi" w:cstheme="minorHAnsi"/>
                <w:color w:val="000000" w:themeColor="text1"/>
                <w:sz w:val="18"/>
                <w:szCs w:val="18"/>
                <w:vertAlign w:val="superscript"/>
              </w:rPr>
              <w:t>15,23</w:t>
            </w:r>
            <w:r w:rsidRPr="00BE4B33">
              <w:rPr>
                <w:rFonts w:asciiTheme="minorHAnsi" w:eastAsia="Calibri" w:hAnsiTheme="minorHAnsi" w:cstheme="minorHAnsi"/>
                <w:color w:val="000000" w:themeColor="text1"/>
                <w:sz w:val="18"/>
                <w:szCs w:val="18"/>
              </w:rPr>
              <w:t>;</w:t>
            </w:r>
          </w:p>
          <w:p w14:paraId="4E36807A"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Perform gastrointestinal prophylaxis with a proton pump inhibitor</w:t>
            </w:r>
            <w:r w:rsidRPr="00BE4B33">
              <w:rPr>
                <w:rFonts w:asciiTheme="minorHAnsi" w:eastAsia="Calibri" w:hAnsiTheme="minorHAnsi" w:cstheme="minorHAnsi"/>
                <w:color w:val="000000" w:themeColor="text1"/>
                <w:sz w:val="18"/>
                <w:szCs w:val="18"/>
                <w:vertAlign w:val="superscript"/>
              </w:rPr>
              <w:t>15,26</w:t>
            </w:r>
            <w:r w:rsidRPr="00BE4B33">
              <w:rPr>
                <w:rFonts w:asciiTheme="minorHAnsi" w:eastAsia="Calibri" w:hAnsiTheme="minorHAnsi" w:cstheme="minorHAnsi"/>
                <w:color w:val="000000" w:themeColor="text1"/>
                <w:sz w:val="18"/>
                <w:szCs w:val="18"/>
              </w:rPr>
              <w:t>;</w:t>
            </w:r>
          </w:p>
          <w:p w14:paraId="1BEBACA7"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Seek information about the patient’s beliefs</w:t>
            </w:r>
            <w:r w:rsidRPr="00BE4B33">
              <w:rPr>
                <w:rFonts w:asciiTheme="minorHAnsi" w:eastAsia="Calibri" w:hAnsiTheme="minorHAnsi" w:cstheme="minorHAnsi"/>
                <w:color w:val="000000" w:themeColor="text1"/>
                <w:sz w:val="18"/>
                <w:szCs w:val="18"/>
                <w:vertAlign w:val="superscript"/>
              </w:rPr>
              <w:t>23</w:t>
            </w:r>
            <w:r w:rsidRPr="00BE4B33">
              <w:rPr>
                <w:rFonts w:asciiTheme="minorHAnsi" w:eastAsia="Calibri" w:hAnsiTheme="minorHAnsi" w:cstheme="minorHAnsi"/>
                <w:color w:val="000000" w:themeColor="text1"/>
                <w:sz w:val="18"/>
                <w:szCs w:val="18"/>
              </w:rPr>
              <w:t>;</w:t>
            </w:r>
          </w:p>
          <w:p w14:paraId="3B4B3E76"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optimization of the hemoglobin level, diagnosis and correction of hemostasis defects</w:t>
            </w:r>
            <w:r w:rsidRPr="00BE4B33">
              <w:rPr>
                <w:rFonts w:asciiTheme="minorHAnsi" w:eastAsia="Calibri" w:hAnsiTheme="minorHAnsi" w:cstheme="minorHAnsi"/>
                <w:color w:val="000000" w:themeColor="text1"/>
                <w:sz w:val="18"/>
                <w:szCs w:val="18"/>
                <w:vertAlign w:val="superscript"/>
              </w:rPr>
              <w:t>24,25,27,30</w:t>
            </w:r>
            <w:r w:rsidRPr="00BE4B33">
              <w:rPr>
                <w:rFonts w:asciiTheme="minorHAnsi" w:eastAsia="Calibri" w:hAnsiTheme="minorHAnsi" w:cstheme="minorHAnsi"/>
                <w:color w:val="000000" w:themeColor="text1"/>
                <w:sz w:val="18"/>
                <w:szCs w:val="18"/>
              </w:rPr>
              <w:t>;</w:t>
            </w:r>
          </w:p>
          <w:p w14:paraId="50A80CC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vertAlign w:val="superscript"/>
              </w:rPr>
            </w:pPr>
            <w:r w:rsidRPr="00BE4B33">
              <w:rPr>
                <w:rFonts w:asciiTheme="minorHAnsi" w:eastAsia="Calibri" w:hAnsiTheme="minorHAnsi" w:cstheme="minorHAnsi"/>
                <w:color w:val="000000" w:themeColor="text1"/>
                <w:sz w:val="18"/>
                <w:szCs w:val="18"/>
              </w:rPr>
              <w:t>Avoid myelosuppressive medications</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r w:rsidRPr="00BE4B33">
              <w:rPr>
                <w:rFonts w:asciiTheme="minorHAnsi" w:eastAsia="Calibri" w:hAnsiTheme="minorHAnsi" w:cstheme="minorHAnsi"/>
                <w:color w:val="000000" w:themeColor="text1"/>
                <w:sz w:val="18"/>
                <w:szCs w:val="18"/>
                <w:vertAlign w:val="superscript"/>
              </w:rPr>
              <w:t xml:space="preserve"> </w:t>
            </w:r>
          </w:p>
          <w:p w14:paraId="59FE4AC9"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Using peripheral blood stem cell sources over the bone marrow to hasten recording</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0B87F8D5"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Do conditioning without total marrow irradiation to avoid mucositis and consider palifermin to reduce mucositis</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7A61C7DC"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the return of any blood discarded from the central venous catheter to a closed system</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143D43E0"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Delay transplantation until platelet count is optimized</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0D61B315"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Eliminate menstruation</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781FE3C6"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cardiopulmonary bypass</w:t>
            </w:r>
            <w:r w:rsidRPr="00BE4B33">
              <w:rPr>
                <w:rFonts w:asciiTheme="minorHAnsi" w:eastAsia="Calibri" w:hAnsiTheme="minorHAnsi" w:cstheme="minorHAnsi"/>
                <w:color w:val="000000" w:themeColor="text1"/>
                <w:sz w:val="18"/>
                <w:szCs w:val="18"/>
                <w:vertAlign w:val="superscript"/>
              </w:rPr>
              <w:t>19,23-25</w:t>
            </w:r>
            <w:r w:rsidRPr="00BE4B33">
              <w:rPr>
                <w:rFonts w:asciiTheme="minorHAnsi" w:eastAsia="Calibri" w:hAnsiTheme="minorHAnsi" w:cstheme="minorHAnsi"/>
                <w:color w:val="000000" w:themeColor="text1"/>
                <w:sz w:val="18"/>
                <w:szCs w:val="18"/>
              </w:rPr>
              <w:t>;</w:t>
            </w:r>
          </w:p>
          <w:p w14:paraId="7A721724"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 xml:space="preserve">Use acute </w:t>
            </w:r>
            <w:proofErr w:type="spellStart"/>
            <w:r w:rsidRPr="00BE4B33">
              <w:rPr>
                <w:rFonts w:asciiTheme="minorHAnsi" w:eastAsia="Calibri" w:hAnsiTheme="minorHAnsi" w:cstheme="minorHAnsi"/>
                <w:color w:val="000000" w:themeColor="text1"/>
                <w:sz w:val="18"/>
                <w:szCs w:val="18"/>
              </w:rPr>
              <w:t>normovolemic</w:t>
            </w:r>
            <w:proofErr w:type="spellEnd"/>
            <w:r w:rsidRPr="00BE4B33">
              <w:rPr>
                <w:rFonts w:asciiTheme="minorHAnsi" w:eastAsia="Calibri" w:hAnsiTheme="minorHAnsi" w:cstheme="minorHAnsi"/>
                <w:color w:val="000000" w:themeColor="text1"/>
                <w:sz w:val="18"/>
                <w:szCs w:val="18"/>
              </w:rPr>
              <w:t xml:space="preserve"> hemodilution</w:t>
            </w:r>
            <w:r w:rsidRPr="00BE4B33">
              <w:rPr>
                <w:rFonts w:asciiTheme="minorHAnsi" w:eastAsia="Calibri" w:hAnsiTheme="minorHAnsi" w:cstheme="minorHAnsi"/>
                <w:color w:val="000000" w:themeColor="text1"/>
                <w:sz w:val="18"/>
                <w:szCs w:val="18"/>
                <w:vertAlign w:val="superscript"/>
              </w:rPr>
              <w:t>22,4,26,30</w:t>
            </w:r>
            <w:r w:rsidRPr="00BE4B33">
              <w:rPr>
                <w:rFonts w:asciiTheme="minorHAnsi" w:eastAsia="Calibri" w:hAnsiTheme="minorHAnsi" w:cstheme="minorHAnsi"/>
                <w:color w:val="000000" w:themeColor="text1"/>
                <w:sz w:val="18"/>
                <w:szCs w:val="18"/>
              </w:rPr>
              <w:t>;</w:t>
            </w:r>
          </w:p>
          <w:p w14:paraId="05EEB5CB"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intraoperative cell recovery</w:t>
            </w:r>
            <w:r w:rsidRPr="00BE4B33">
              <w:rPr>
                <w:rFonts w:asciiTheme="minorHAnsi" w:eastAsia="Calibri" w:hAnsiTheme="minorHAnsi" w:cstheme="minorHAnsi"/>
                <w:color w:val="000000" w:themeColor="text1"/>
                <w:sz w:val="18"/>
                <w:szCs w:val="18"/>
                <w:vertAlign w:val="superscript"/>
              </w:rPr>
              <w:t>16,17,19,22,24,25,30,31,33</w:t>
            </w:r>
            <w:r w:rsidRPr="00BE4B33">
              <w:rPr>
                <w:rFonts w:asciiTheme="minorHAnsi" w:eastAsia="Calibri" w:hAnsiTheme="minorHAnsi" w:cstheme="minorHAnsi"/>
                <w:color w:val="000000" w:themeColor="text1"/>
                <w:sz w:val="18"/>
                <w:szCs w:val="18"/>
              </w:rPr>
              <w:t>;</w:t>
            </w:r>
          </w:p>
          <w:p w14:paraId="31C0EE03"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Extracorporeal Membrane Oxygenation (ECMO)</w:t>
            </w:r>
            <w:r w:rsidRPr="00BE4B33">
              <w:rPr>
                <w:rFonts w:asciiTheme="minorHAnsi" w:eastAsia="Calibri" w:hAnsiTheme="minorHAnsi" w:cstheme="minorHAnsi"/>
                <w:color w:val="000000" w:themeColor="text1"/>
                <w:sz w:val="18"/>
                <w:szCs w:val="18"/>
                <w:vertAlign w:val="superscript"/>
              </w:rPr>
              <w:t>25,26,33</w:t>
            </w:r>
            <w:r w:rsidRPr="00BE4B33">
              <w:rPr>
                <w:rFonts w:asciiTheme="minorHAnsi" w:eastAsia="Calibri" w:hAnsiTheme="minorHAnsi" w:cstheme="minorHAnsi"/>
                <w:color w:val="000000" w:themeColor="text1"/>
                <w:sz w:val="18"/>
                <w:szCs w:val="18"/>
              </w:rPr>
              <w:t>;</w:t>
            </w:r>
          </w:p>
          <w:p w14:paraId="5177A495"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controlled hypotension</w:t>
            </w:r>
            <w:r w:rsidRPr="00BE4B33">
              <w:rPr>
                <w:rFonts w:asciiTheme="minorHAnsi" w:eastAsia="Calibri" w:hAnsiTheme="minorHAnsi" w:cstheme="minorHAnsi"/>
                <w:color w:val="000000" w:themeColor="text1"/>
                <w:sz w:val="18"/>
                <w:szCs w:val="18"/>
                <w:vertAlign w:val="superscript"/>
              </w:rPr>
              <w:t>24-26,31,33</w:t>
            </w:r>
            <w:r w:rsidRPr="00BE4B33">
              <w:rPr>
                <w:rFonts w:asciiTheme="minorHAnsi" w:eastAsia="Calibri" w:hAnsiTheme="minorHAnsi" w:cstheme="minorHAnsi"/>
                <w:color w:val="000000" w:themeColor="text1"/>
                <w:sz w:val="18"/>
                <w:szCs w:val="18"/>
              </w:rPr>
              <w:t>;</w:t>
            </w:r>
          </w:p>
          <w:p w14:paraId="75F1CA8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Apply hemostasis tests (</w:t>
            </w:r>
            <w:proofErr w:type="spellStart"/>
            <w:r w:rsidRPr="00BE4B33">
              <w:rPr>
                <w:rFonts w:asciiTheme="minorHAnsi" w:eastAsia="Calibri" w:hAnsiTheme="minorHAnsi" w:cstheme="minorHAnsi"/>
                <w:color w:val="000000" w:themeColor="text1"/>
                <w:sz w:val="18"/>
                <w:szCs w:val="18"/>
              </w:rPr>
              <w:t>thromboelastometry</w:t>
            </w:r>
            <w:proofErr w:type="spellEnd"/>
            <w:r w:rsidRPr="00BE4B33">
              <w:rPr>
                <w:rFonts w:asciiTheme="minorHAnsi" w:eastAsia="Calibri" w:hAnsiTheme="minorHAnsi" w:cstheme="minorHAnsi"/>
                <w:color w:val="000000" w:themeColor="text1"/>
                <w:sz w:val="18"/>
                <w:szCs w:val="18"/>
              </w:rPr>
              <w:t>)</w:t>
            </w:r>
            <w:r w:rsidRPr="00BE4B33">
              <w:rPr>
                <w:rFonts w:asciiTheme="minorHAnsi" w:eastAsia="Calibri" w:hAnsiTheme="minorHAnsi" w:cstheme="minorHAnsi"/>
                <w:color w:val="000000" w:themeColor="text1"/>
                <w:sz w:val="18"/>
                <w:szCs w:val="18"/>
                <w:vertAlign w:val="superscript"/>
              </w:rPr>
              <w:t>16</w:t>
            </w:r>
            <w:r w:rsidRPr="00BE4B33">
              <w:rPr>
                <w:rFonts w:asciiTheme="minorHAnsi" w:eastAsia="Calibri" w:hAnsiTheme="minorHAnsi" w:cstheme="minorHAnsi"/>
                <w:color w:val="000000" w:themeColor="text1"/>
                <w:sz w:val="18"/>
                <w:szCs w:val="18"/>
              </w:rPr>
              <w:t>;</w:t>
            </w:r>
          </w:p>
          <w:p w14:paraId="57F2CA05"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a meticulous surgical technique (regional anesthesia, adequate intraoperative positioning)</w:t>
            </w:r>
            <w:r w:rsidRPr="00BE4B33">
              <w:rPr>
                <w:rFonts w:asciiTheme="minorHAnsi" w:eastAsia="Calibri" w:hAnsiTheme="minorHAnsi" w:cstheme="minorHAnsi"/>
                <w:color w:val="000000" w:themeColor="text1"/>
                <w:sz w:val="18"/>
                <w:szCs w:val="18"/>
                <w:vertAlign w:val="superscript"/>
              </w:rPr>
              <w:t>16,24,26,30,31,33</w:t>
            </w:r>
            <w:r w:rsidRPr="00BE4B33">
              <w:rPr>
                <w:rFonts w:asciiTheme="minorHAnsi" w:eastAsia="Calibri" w:hAnsiTheme="minorHAnsi" w:cstheme="minorHAnsi"/>
                <w:color w:val="000000" w:themeColor="text1"/>
                <w:sz w:val="18"/>
                <w:szCs w:val="18"/>
              </w:rPr>
              <w:t>;</w:t>
            </w:r>
          </w:p>
          <w:p w14:paraId="183D182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fibrin gel, platelet gel, platelet-rich plasma, glue and/or fibrin sealant, bandages - hemostats containing plasma fractions, thrombin sealants</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 xml:space="preserve">; </w:t>
            </w:r>
          </w:p>
          <w:p w14:paraId="7AD37C8E"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Make radionuclide labeling for localization of bleeding</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w:t>
            </w:r>
          </w:p>
          <w:p w14:paraId="1E5E5A3C"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Perform therapeutic hypothermia (32°C-33°C)</w:t>
            </w:r>
            <w:r w:rsidRPr="00BE4B33">
              <w:rPr>
                <w:rFonts w:asciiTheme="minorHAnsi" w:eastAsia="Calibri" w:hAnsiTheme="minorHAnsi" w:cstheme="minorHAnsi"/>
                <w:color w:val="000000" w:themeColor="text1"/>
                <w:sz w:val="18"/>
                <w:szCs w:val="18"/>
                <w:vertAlign w:val="superscript"/>
              </w:rPr>
              <w:t>26,31</w:t>
            </w:r>
            <w:r w:rsidRPr="00BE4B33">
              <w:rPr>
                <w:rFonts w:asciiTheme="minorHAnsi" w:eastAsia="Calibri" w:hAnsiTheme="minorHAnsi" w:cstheme="minorHAnsi"/>
                <w:color w:val="000000" w:themeColor="text1"/>
                <w:sz w:val="18"/>
                <w:szCs w:val="18"/>
              </w:rPr>
              <w:t>;</w:t>
            </w:r>
          </w:p>
          <w:p w14:paraId="24B87302"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maintenance of normothermia</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w:t>
            </w:r>
          </w:p>
          <w:p w14:paraId="5320EAF1"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hyperbaric oxygen therapy</w:t>
            </w:r>
            <w:r w:rsidRPr="00BE4B33">
              <w:rPr>
                <w:rFonts w:asciiTheme="minorHAnsi" w:eastAsia="Calibri" w:hAnsiTheme="minorHAnsi" w:cstheme="minorHAnsi"/>
                <w:color w:val="000000" w:themeColor="text1"/>
                <w:sz w:val="18"/>
                <w:szCs w:val="18"/>
                <w:vertAlign w:val="superscript"/>
              </w:rPr>
              <w:t>31</w:t>
            </w:r>
            <w:r w:rsidRPr="00BE4B33">
              <w:rPr>
                <w:rFonts w:asciiTheme="minorHAnsi" w:eastAsia="Calibri" w:hAnsiTheme="minorHAnsi" w:cstheme="minorHAnsi"/>
                <w:color w:val="000000" w:themeColor="text1"/>
                <w:sz w:val="18"/>
                <w:szCs w:val="18"/>
              </w:rPr>
              <w:t>;</w:t>
            </w:r>
          </w:p>
          <w:p w14:paraId="30E209E0"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Constantly update the healthcare team on the management of blood products</w:t>
            </w:r>
            <w:r w:rsidRPr="00BE4B33">
              <w:rPr>
                <w:rFonts w:asciiTheme="minorHAnsi" w:eastAsia="Calibri" w:hAnsiTheme="minorHAnsi" w:cstheme="minorHAnsi"/>
                <w:color w:val="000000" w:themeColor="text1"/>
                <w:sz w:val="18"/>
                <w:szCs w:val="18"/>
                <w:vertAlign w:val="superscript"/>
              </w:rPr>
              <w:t>31</w:t>
            </w:r>
            <w:r w:rsidRPr="00BE4B33">
              <w:rPr>
                <w:rFonts w:asciiTheme="minorHAnsi" w:eastAsia="Calibri" w:hAnsiTheme="minorHAnsi" w:cstheme="minorHAnsi"/>
                <w:color w:val="000000" w:themeColor="text1"/>
                <w:sz w:val="18"/>
                <w:szCs w:val="18"/>
              </w:rPr>
              <w:t>;</w:t>
            </w:r>
          </w:p>
          <w:p w14:paraId="6AA1A68C"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surgical techniques and hemostatic instruments (electrocautery, lasers or the argon-ray coagulator, prophylactic angiographic embolization, pneumatic tourniquet)</w:t>
            </w:r>
            <w:r w:rsidRPr="00BE4B33">
              <w:rPr>
                <w:rFonts w:asciiTheme="minorHAnsi" w:eastAsia="Calibri" w:hAnsiTheme="minorHAnsi" w:cstheme="minorHAnsi"/>
                <w:color w:val="000000" w:themeColor="text1"/>
                <w:sz w:val="18"/>
                <w:szCs w:val="18"/>
                <w:vertAlign w:val="superscript"/>
              </w:rPr>
              <w:t>19,26,33</w:t>
            </w:r>
            <w:r w:rsidRPr="00BE4B33">
              <w:rPr>
                <w:rFonts w:asciiTheme="minorHAnsi" w:eastAsia="Calibri" w:hAnsiTheme="minorHAnsi" w:cstheme="minorHAnsi"/>
                <w:color w:val="000000" w:themeColor="text1"/>
                <w:sz w:val="18"/>
                <w:szCs w:val="18"/>
              </w:rPr>
              <w:t>;</w:t>
            </w:r>
          </w:p>
          <w:p w14:paraId="567F3056"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Minimize oxygen consumption (sedation, analgesia and mechanical ventilation)</w:t>
            </w:r>
            <w:r w:rsidRPr="00BE4B33">
              <w:rPr>
                <w:rFonts w:asciiTheme="minorHAnsi" w:eastAsia="Calibri" w:hAnsiTheme="minorHAnsi" w:cstheme="minorHAnsi"/>
                <w:color w:val="000000" w:themeColor="text1"/>
                <w:sz w:val="18"/>
                <w:szCs w:val="18"/>
                <w:vertAlign w:val="superscript"/>
              </w:rPr>
              <w:t>33</w:t>
            </w:r>
            <w:r w:rsidRPr="00BE4B33">
              <w:rPr>
                <w:rFonts w:asciiTheme="minorHAnsi" w:eastAsia="Calibri" w:hAnsiTheme="minorHAnsi" w:cstheme="minorHAnsi"/>
                <w:color w:val="000000" w:themeColor="text1"/>
                <w:sz w:val="18"/>
                <w:szCs w:val="18"/>
              </w:rPr>
              <w:t>;</w:t>
            </w:r>
          </w:p>
          <w:p w14:paraId="686E2729"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Optimize cardiac output with the use of inotropic drugs</w:t>
            </w:r>
            <w:r w:rsidRPr="00BE4B33">
              <w:rPr>
                <w:rFonts w:asciiTheme="minorHAnsi" w:eastAsia="Calibri" w:hAnsiTheme="minorHAnsi" w:cstheme="minorHAnsi"/>
                <w:color w:val="000000" w:themeColor="text1"/>
                <w:sz w:val="18"/>
                <w:szCs w:val="18"/>
                <w:vertAlign w:val="superscript"/>
              </w:rPr>
              <w:t>33</w:t>
            </w:r>
            <w:r w:rsidRPr="00BE4B33">
              <w:rPr>
                <w:rFonts w:asciiTheme="minorHAnsi" w:eastAsia="Calibri" w:hAnsiTheme="minorHAnsi" w:cstheme="minorHAnsi"/>
                <w:color w:val="000000" w:themeColor="text1"/>
                <w:sz w:val="18"/>
                <w:szCs w:val="18"/>
              </w:rPr>
              <w:t>;</w:t>
            </w:r>
          </w:p>
          <w:p w14:paraId="64E13A84"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Use epidural blood patch</w:t>
            </w:r>
            <w:r w:rsidRPr="00BE4B33">
              <w:rPr>
                <w:rFonts w:asciiTheme="minorHAnsi" w:eastAsia="Calibri" w:hAnsiTheme="minorHAnsi" w:cstheme="minorHAnsi"/>
                <w:color w:val="000000" w:themeColor="text1"/>
                <w:sz w:val="18"/>
                <w:szCs w:val="18"/>
                <w:vertAlign w:val="superscript"/>
              </w:rPr>
              <w:t>22</w:t>
            </w:r>
            <w:r w:rsidRPr="00BE4B33">
              <w:rPr>
                <w:rFonts w:asciiTheme="minorHAnsi" w:eastAsia="Calibri" w:hAnsiTheme="minorHAnsi" w:cstheme="minorHAnsi"/>
                <w:color w:val="000000" w:themeColor="text1"/>
                <w:sz w:val="18"/>
                <w:szCs w:val="18"/>
              </w:rPr>
              <w:t>;</w:t>
            </w:r>
          </w:p>
          <w:p w14:paraId="2F8EC600"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 xml:space="preserve">Administer medications to retain uterine atony (IV oxytocin, IV </w:t>
            </w:r>
            <w:proofErr w:type="spellStart"/>
            <w:r w:rsidRPr="00BE4B33">
              <w:rPr>
                <w:rFonts w:asciiTheme="minorHAnsi" w:eastAsia="Calibri" w:hAnsiTheme="minorHAnsi" w:cstheme="minorHAnsi"/>
                <w:color w:val="000000" w:themeColor="text1"/>
                <w:sz w:val="18"/>
                <w:szCs w:val="18"/>
              </w:rPr>
              <w:t>carbetocin</w:t>
            </w:r>
            <w:proofErr w:type="spellEnd"/>
            <w:r w:rsidRPr="00BE4B33">
              <w:rPr>
                <w:rFonts w:asciiTheme="minorHAnsi" w:eastAsia="Calibri" w:hAnsiTheme="minorHAnsi" w:cstheme="minorHAnsi"/>
                <w:color w:val="000000" w:themeColor="text1"/>
                <w:sz w:val="18"/>
                <w:szCs w:val="18"/>
              </w:rPr>
              <w:t xml:space="preserve">, intramuscular methylergometrine, and </w:t>
            </w:r>
            <w:proofErr w:type="spellStart"/>
            <w:r w:rsidRPr="00BE4B33">
              <w:rPr>
                <w:rFonts w:asciiTheme="minorHAnsi" w:eastAsia="Calibri" w:hAnsiTheme="minorHAnsi" w:cstheme="minorHAnsi"/>
                <w:color w:val="000000" w:themeColor="text1"/>
                <w:sz w:val="18"/>
                <w:szCs w:val="18"/>
              </w:rPr>
              <w:t>intramyometrial</w:t>
            </w:r>
            <w:proofErr w:type="spellEnd"/>
            <w:r w:rsidRPr="00BE4B33">
              <w:rPr>
                <w:rFonts w:asciiTheme="minorHAnsi" w:eastAsia="Calibri" w:hAnsiTheme="minorHAnsi" w:cstheme="minorHAnsi"/>
                <w:color w:val="000000" w:themeColor="text1"/>
                <w:sz w:val="18"/>
                <w:szCs w:val="18"/>
              </w:rPr>
              <w:t xml:space="preserve"> tromethamine)</w:t>
            </w:r>
            <w:r w:rsidRPr="00BE4B33">
              <w:rPr>
                <w:rFonts w:asciiTheme="minorHAnsi" w:eastAsia="Calibri" w:hAnsiTheme="minorHAnsi" w:cstheme="minorHAnsi"/>
                <w:color w:val="000000" w:themeColor="text1"/>
                <w:sz w:val="18"/>
                <w:szCs w:val="18"/>
                <w:vertAlign w:val="superscript"/>
              </w:rPr>
              <w:t>30</w:t>
            </w:r>
            <w:r w:rsidRPr="00BE4B33">
              <w:rPr>
                <w:rFonts w:asciiTheme="minorHAnsi" w:eastAsia="Calibri" w:hAnsiTheme="minorHAnsi" w:cstheme="minorHAnsi"/>
                <w:color w:val="000000" w:themeColor="text1"/>
                <w:sz w:val="18"/>
                <w:szCs w:val="18"/>
              </w:rPr>
              <w:t>;</w:t>
            </w:r>
          </w:p>
          <w:p w14:paraId="134EC4FF"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Promote collection for target CD34+ cell dose of &gt; 10 7/cell and use peripheral blood stem cell sources over bone marrow to accelerate engraftment</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4FE819B1"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Provide supplemental oxygen therapy and correct coagulation abnormalities</w:t>
            </w:r>
            <w:r w:rsidRPr="00BE4B33">
              <w:rPr>
                <w:rFonts w:asciiTheme="minorHAnsi" w:eastAsia="Calibri" w:hAnsiTheme="minorHAnsi" w:cstheme="minorHAnsi"/>
                <w:color w:val="000000" w:themeColor="text1"/>
                <w:sz w:val="18"/>
                <w:szCs w:val="18"/>
                <w:vertAlign w:val="superscript"/>
              </w:rPr>
              <w:t>15</w:t>
            </w:r>
            <w:r w:rsidRPr="00BE4B33">
              <w:rPr>
                <w:rFonts w:asciiTheme="minorHAnsi" w:eastAsia="Calibri" w:hAnsiTheme="minorHAnsi" w:cstheme="minorHAnsi"/>
                <w:color w:val="000000" w:themeColor="text1"/>
                <w:sz w:val="18"/>
                <w:szCs w:val="18"/>
              </w:rPr>
              <w:t>;</w:t>
            </w:r>
          </w:p>
          <w:p w14:paraId="162E77D7" w14:textId="77777777" w:rsidR="00840612" w:rsidRPr="00BE4B33" w:rsidRDefault="00840612" w:rsidP="00A631CB">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Identify and document pregnant patients for whom (for whatever reason) blood transfusion is not an option at the 1</w:t>
            </w:r>
            <w:r w:rsidRPr="00BE4B33">
              <w:rPr>
                <w:rFonts w:asciiTheme="minorHAnsi" w:eastAsia="Calibri" w:hAnsiTheme="minorHAnsi" w:cstheme="minorHAnsi"/>
                <w:color w:val="000000" w:themeColor="text1"/>
                <w:sz w:val="18"/>
                <w:szCs w:val="18"/>
                <w:vertAlign w:val="superscript"/>
              </w:rPr>
              <w:t>st</w:t>
            </w:r>
            <w:r w:rsidRPr="00BE4B33">
              <w:rPr>
                <w:rFonts w:asciiTheme="minorHAnsi" w:eastAsia="Calibri" w:hAnsiTheme="minorHAnsi" w:cstheme="minorHAnsi"/>
                <w:color w:val="000000" w:themeColor="text1"/>
                <w:sz w:val="18"/>
                <w:szCs w:val="18"/>
              </w:rPr>
              <w:t xml:space="preserve"> visit; blood products that are acceptable; care model that will be offered; plan to optimize hemoglobin during pregnancy</w:t>
            </w:r>
            <w:r w:rsidRPr="00BE4B33">
              <w:rPr>
                <w:rFonts w:asciiTheme="minorHAnsi" w:eastAsia="Calibri" w:hAnsiTheme="minorHAnsi" w:cstheme="minorHAnsi"/>
                <w:color w:val="000000" w:themeColor="text1"/>
                <w:sz w:val="18"/>
                <w:szCs w:val="18"/>
                <w:vertAlign w:val="superscript"/>
              </w:rPr>
              <w:t>15,27</w:t>
            </w:r>
            <w:r w:rsidRPr="00BE4B33">
              <w:rPr>
                <w:rFonts w:asciiTheme="minorHAnsi" w:eastAsia="Calibri" w:hAnsiTheme="minorHAnsi" w:cstheme="minorHAnsi"/>
                <w:color w:val="000000" w:themeColor="text1"/>
                <w:sz w:val="18"/>
                <w:szCs w:val="18"/>
              </w:rPr>
              <w:t xml:space="preserve">; </w:t>
            </w:r>
          </w:p>
        </w:tc>
      </w:tr>
    </w:tbl>
    <w:p w14:paraId="580E299C" w14:textId="0BF9F783" w:rsidR="00BE4B33" w:rsidRPr="00BE4B33" w:rsidRDefault="00BE4B33" w:rsidP="00BE4B33">
      <w:pPr>
        <w:spacing w:after="120" w:line="240" w:lineRule="auto"/>
        <w:jc w:val="both"/>
        <w:rPr>
          <w:rFonts w:ascii="Calibri" w:eastAsia="Calibri" w:hAnsi="Calibri" w:cs="Calibri"/>
          <w:b/>
          <w:color w:val="000000" w:themeColor="text1"/>
          <w:sz w:val="16"/>
          <w:szCs w:val="16"/>
        </w:rPr>
      </w:pPr>
      <w:r w:rsidRPr="00BE4B33">
        <w:rPr>
          <w:rFonts w:ascii="Calibri" w:eastAsia="Calibri" w:hAnsi="Calibri" w:cs="Calibri"/>
          <w:b/>
          <w:color w:val="000000" w:themeColor="text1"/>
          <w:sz w:val="16"/>
          <w:szCs w:val="16"/>
        </w:rPr>
        <w:t>FIGURE 4:</w:t>
      </w:r>
      <w:r w:rsidRPr="00BE4B33">
        <w:rPr>
          <w:rFonts w:ascii="Calibri" w:eastAsia="Calibri" w:hAnsi="Calibri" w:cs="Calibri"/>
          <w:color w:val="000000" w:themeColor="text1"/>
          <w:sz w:val="16"/>
          <w:szCs w:val="16"/>
        </w:rPr>
        <w:t xml:space="preserve"> Synthesis of the strategies used in the approach to Jehovah’s Witness patients</w:t>
      </w:r>
      <w:r>
        <w:rPr>
          <w:rFonts w:ascii="Calibri" w:eastAsia="Calibri" w:hAnsi="Calibri" w:cs="Calibri"/>
          <w:color w:val="000000" w:themeColor="text1"/>
          <w:sz w:val="16"/>
          <w:szCs w:val="16"/>
        </w:rPr>
        <w:t>: category 1</w:t>
      </w:r>
      <w:r w:rsidRPr="00BE4B33">
        <w:rPr>
          <w:rFonts w:ascii="Calibri" w:eastAsia="Calibri" w:hAnsi="Calibri" w:cs="Calibri"/>
          <w:color w:val="000000" w:themeColor="text1"/>
          <w:sz w:val="16"/>
          <w:szCs w:val="16"/>
        </w:rPr>
        <w:t>. Rio de Janeiro, RJ, Brazil, 2020.</w:t>
      </w:r>
    </w:p>
    <w:p w14:paraId="71F0AA49" w14:textId="3EC9D24A" w:rsidR="00840612" w:rsidRDefault="00840612" w:rsidP="00840612">
      <w:pPr>
        <w:spacing w:after="120" w:line="240" w:lineRule="auto"/>
        <w:ind w:firstLine="454"/>
        <w:jc w:val="both"/>
        <w:rPr>
          <w:rFonts w:ascii="Calibri" w:eastAsia="Calibri" w:hAnsi="Calibri" w:cs="Calibri"/>
          <w:b/>
          <w:color w:val="000000" w:themeColor="text1"/>
          <w:sz w:val="20"/>
          <w:szCs w:val="20"/>
        </w:rPr>
      </w:pPr>
    </w:p>
    <w:p w14:paraId="2C384B0F" w14:textId="77777777" w:rsidR="00BE4B33" w:rsidRDefault="00BE4B33">
      <w: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E4B33" w:rsidRPr="001D4902" w14:paraId="5DA2BD19" w14:textId="77777777" w:rsidTr="004F24E7">
        <w:tc>
          <w:tcPr>
            <w:tcW w:w="9634" w:type="dxa"/>
          </w:tcPr>
          <w:p w14:paraId="7C36CEA6" w14:textId="4235FD04" w:rsidR="00BE4B33" w:rsidRPr="00BE4B33" w:rsidRDefault="00BE4B33" w:rsidP="004F24E7">
            <w:pPr>
              <w:spacing w:after="0" w:line="240" w:lineRule="auto"/>
              <w:ind w:firstLine="27"/>
              <w:jc w:val="both"/>
              <w:rPr>
                <w:rFonts w:asciiTheme="minorHAnsi" w:eastAsia="Calibri" w:hAnsiTheme="minorHAnsi" w:cstheme="minorHAnsi"/>
                <w:b/>
                <w:color w:val="000000" w:themeColor="text1"/>
                <w:sz w:val="18"/>
                <w:szCs w:val="18"/>
              </w:rPr>
            </w:pPr>
            <w:r w:rsidRPr="00BE4B33">
              <w:rPr>
                <w:rFonts w:asciiTheme="minorHAnsi" w:eastAsia="Calibri" w:hAnsiTheme="minorHAnsi" w:cstheme="minorHAnsi"/>
                <w:b/>
                <w:color w:val="000000" w:themeColor="text1"/>
                <w:sz w:val="18"/>
                <w:szCs w:val="18"/>
              </w:rPr>
              <w:lastRenderedPageBreak/>
              <w:t>Category 2: Bioethical approach when there is refusal by a Jehovah’s Witness patient</w:t>
            </w:r>
          </w:p>
        </w:tc>
      </w:tr>
      <w:tr w:rsidR="00BE4B33" w:rsidRPr="001D4902" w14:paraId="77EC9C7B" w14:textId="77777777" w:rsidTr="004F24E7">
        <w:trPr>
          <w:trHeight w:val="710"/>
        </w:trPr>
        <w:tc>
          <w:tcPr>
            <w:tcW w:w="9634" w:type="dxa"/>
          </w:tcPr>
          <w:p w14:paraId="473D5F98"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 xml:space="preserve">The health professional can refer the patient to another professional if they do not feel comfortable treating </w:t>
            </w:r>
            <w:proofErr w:type="gramStart"/>
            <w:r w:rsidRPr="00BE4B33">
              <w:rPr>
                <w:rFonts w:asciiTheme="minorHAnsi" w:eastAsia="Calibri" w:hAnsiTheme="minorHAnsi" w:cstheme="minorHAnsi"/>
                <w:color w:val="000000" w:themeColor="text1"/>
                <w:sz w:val="18"/>
                <w:szCs w:val="18"/>
              </w:rPr>
              <w:t>the  patient</w:t>
            </w:r>
            <w:proofErr w:type="gramEnd"/>
            <w:r w:rsidRPr="00BE4B33">
              <w:rPr>
                <w:rFonts w:asciiTheme="minorHAnsi" w:eastAsia="Calibri" w:hAnsiTheme="minorHAnsi" w:cstheme="minorHAnsi"/>
                <w:color w:val="000000" w:themeColor="text1"/>
                <w:sz w:val="18"/>
                <w:szCs w:val="18"/>
                <w:vertAlign w:val="superscript"/>
              </w:rPr>
              <w:t>24,31</w:t>
            </w:r>
            <w:r w:rsidRPr="00BE4B33">
              <w:rPr>
                <w:rFonts w:asciiTheme="minorHAnsi" w:eastAsia="Calibri" w:hAnsiTheme="minorHAnsi" w:cstheme="minorHAnsi"/>
                <w:color w:val="000000" w:themeColor="text1"/>
                <w:sz w:val="18"/>
                <w:szCs w:val="18"/>
              </w:rPr>
              <w:t>;</w:t>
            </w:r>
          </w:p>
          <w:p w14:paraId="18891932"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Pay attention to the perception of how the recommendations made affect the patient’s values</w:t>
            </w:r>
            <w:r w:rsidRPr="00BE4B33">
              <w:rPr>
                <w:rFonts w:asciiTheme="minorHAnsi" w:eastAsia="Calibri" w:hAnsiTheme="minorHAnsi" w:cstheme="minorHAnsi"/>
                <w:color w:val="000000" w:themeColor="text1"/>
                <w:sz w:val="18"/>
                <w:szCs w:val="18"/>
                <w:vertAlign w:val="superscript"/>
              </w:rPr>
              <w:t>18</w:t>
            </w:r>
            <w:r w:rsidRPr="00BE4B33">
              <w:rPr>
                <w:rFonts w:asciiTheme="minorHAnsi" w:eastAsia="Calibri" w:hAnsiTheme="minorHAnsi" w:cstheme="minorHAnsi"/>
                <w:color w:val="000000" w:themeColor="text1"/>
                <w:sz w:val="18"/>
                <w:szCs w:val="18"/>
              </w:rPr>
              <w:t>;</w:t>
            </w:r>
          </w:p>
          <w:p w14:paraId="5E9857DF"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Provide information on the possibilities of interventions and medical recommendations</w:t>
            </w:r>
            <w:r w:rsidRPr="00BE4B33">
              <w:rPr>
                <w:rFonts w:asciiTheme="minorHAnsi" w:eastAsia="Calibri" w:hAnsiTheme="minorHAnsi" w:cstheme="minorHAnsi"/>
                <w:color w:val="000000" w:themeColor="text1"/>
                <w:sz w:val="18"/>
                <w:szCs w:val="18"/>
                <w:vertAlign w:val="superscript"/>
              </w:rPr>
              <w:t>18,30</w:t>
            </w:r>
            <w:r w:rsidRPr="00BE4B33">
              <w:rPr>
                <w:rFonts w:asciiTheme="minorHAnsi" w:eastAsia="Calibri" w:hAnsiTheme="minorHAnsi" w:cstheme="minorHAnsi"/>
                <w:color w:val="000000" w:themeColor="text1"/>
                <w:sz w:val="18"/>
                <w:szCs w:val="18"/>
              </w:rPr>
              <w:t>; Jehovah’s Witness</w:t>
            </w:r>
          </w:p>
          <w:p w14:paraId="156FF582"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Clearly advise the patient about the benefits and risks of treatment</w:t>
            </w:r>
            <w:r w:rsidRPr="00BE4B33">
              <w:rPr>
                <w:rFonts w:asciiTheme="minorHAnsi" w:eastAsia="Calibri" w:hAnsiTheme="minorHAnsi" w:cstheme="minorHAnsi"/>
                <w:color w:val="000000" w:themeColor="text1"/>
                <w:sz w:val="18"/>
                <w:szCs w:val="18"/>
                <w:vertAlign w:val="superscript"/>
              </w:rPr>
              <w:t>18</w:t>
            </w:r>
            <w:r w:rsidRPr="00BE4B33">
              <w:rPr>
                <w:rFonts w:asciiTheme="minorHAnsi" w:eastAsia="Calibri" w:hAnsiTheme="minorHAnsi" w:cstheme="minorHAnsi"/>
                <w:color w:val="000000" w:themeColor="text1"/>
                <w:sz w:val="18"/>
                <w:szCs w:val="18"/>
              </w:rPr>
              <w:t>;</w:t>
            </w:r>
          </w:p>
          <w:p w14:paraId="032A3A7F"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Create a good professional-patient relationship, creating an environment for dialogue in order to understand the patient’s beliefs, desires and wishes</w:t>
            </w:r>
            <w:r w:rsidRPr="00BE4B33">
              <w:rPr>
                <w:rFonts w:asciiTheme="minorHAnsi" w:eastAsia="Calibri" w:hAnsiTheme="minorHAnsi" w:cstheme="minorHAnsi"/>
                <w:color w:val="000000" w:themeColor="text1"/>
                <w:sz w:val="18"/>
                <w:szCs w:val="18"/>
                <w:vertAlign w:val="superscript"/>
              </w:rPr>
              <w:t>17,18,20,24</w:t>
            </w:r>
            <w:r w:rsidRPr="00BE4B33">
              <w:rPr>
                <w:rFonts w:asciiTheme="minorHAnsi" w:eastAsia="Calibri" w:hAnsiTheme="minorHAnsi" w:cstheme="minorHAnsi"/>
                <w:color w:val="000000" w:themeColor="text1"/>
                <w:sz w:val="18"/>
                <w:szCs w:val="18"/>
              </w:rPr>
              <w:t>;</w:t>
            </w:r>
          </w:p>
          <w:p w14:paraId="0612CB72"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Respect the patient’s autonomy</w:t>
            </w:r>
            <w:r w:rsidRPr="00BE4B33">
              <w:rPr>
                <w:rFonts w:asciiTheme="minorHAnsi" w:eastAsia="Calibri" w:hAnsiTheme="minorHAnsi" w:cstheme="minorHAnsi"/>
                <w:color w:val="000000" w:themeColor="text1"/>
                <w:sz w:val="18"/>
                <w:szCs w:val="18"/>
                <w:vertAlign w:val="superscript"/>
              </w:rPr>
              <w:t>14,16-,18,20,23,25,27,28,30,31,33</w:t>
            </w:r>
            <w:r w:rsidRPr="00BE4B33">
              <w:rPr>
                <w:rFonts w:asciiTheme="minorHAnsi" w:eastAsia="Calibri" w:hAnsiTheme="minorHAnsi" w:cstheme="minorHAnsi"/>
                <w:color w:val="000000" w:themeColor="text1"/>
                <w:sz w:val="18"/>
                <w:szCs w:val="18"/>
              </w:rPr>
              <w:t>;</w:t>
            </w:r>
          </w:p>
          <w:p w14:paraId="1A137576"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Do not stereotype the patient</w:t>
            </w:r>
            <w:r w:rsidRPr="00BE4B33">
              <w:rPr>
                <w:rFonts w:asciiTheme="minorHAnsi" w:eastAsia="Calibri" w:hAnsiTheme="minorHAnsi" w:cstheme="minorHAnsi"/>
                <w:color w:val="000000" w:themeColor="text1"/>
                <w:sz w:val="18"/>
                <w:szCs w:val="18"/>
                <w:vertAlign w:val="superscript"/>
              </w:rPr>
              <w:t>17</w:t>
            </w:r>
            <w:r w:rsidRPr="00BE4B33">
              <w:rPr>
                <w:rFonts w:asciiTheme="minorHAnsi" w:eastAsia="Calibri" w:hAnsiTheme="minorHAnsi" w:cstheme="minorHAnsi"/>
                <w:color w:val="000000" w:themeColor="text1"/>
                <w:sz w:val="18"/>
                <w:szCs w:val="18"/>
              </w:rPr>
              <w:t>;</w:t>
            </w:r>
          </w:p>
          <w:p w14:paraId="778DFE4E"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Treat each patient individually, respecting the particularity of each individual</w:t>
            </w:r>
            <w:r w:rsidRPr="00BE4B33">
              <w:rPr>
                <w:rFonts w:asciiTheme="minorHAnsi" w:eastAsia="Calibri" w:hAnsiTheme="minorHAnsi" w:cstheme="minorHAnsi"/>
                <w:color w:val="000000" w:themeColor="text1"/>
                <w:sz w:val="18"/>
                <w:szCs w:val="18"/>
                <w:vertAlign w:val="superscript"/>
              </w:rPr>
              <w:t>17,28</w:t>
            </w:r>
            <w:r w:rsidRPr="00BE4B33">
              <w:rPr>
                <w:rFonts w:asciiTheme="minorHAnsi" w:eastAsia="Calibri" w:hAnsiTheme="minorHAnsi" w:cstheme="minorHAnsi"/>
                <w:color w:val="000000" w:themeColor="text1"/>
                <w:sz w:val="18"/>
                <w:szCs w:val="18"/>
              </w:rPr>
              <w:t>;</w:t>
            </w:r>
          </w:p>
          <w:p w14:paraId="1D61EE1C"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Avoid assuming that the patient’s blood refusal means they are choosing death or asking the patient questions such as: “will you accept a blood transfusion?”</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 xml:space="preserve">; </w:t>
            </w:r>
          </w:p>
          <w:p w14:paraId="50F87C77"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Maintain effective communication with the patient throughout the care in order to take advantage of opportunities to ask questions in order to clarify the patient’s wishes and provide guidance on preventive measures</w:t>
            </w:r>
            <w:r w:rsidRPr="00BE4B33">
              <w:rPr>
                <w:rFonts w:asciiTheme="minorHAnsi" w:eastAsia="Calibri" w:hAnsiTheme="minorHAnsi" w:cstheme="minorHAnsi"/>
                <w:color w:val="000000" w:themeColor="text1"/>
                <w:sz w:val="18"/>
                <w:szCs w:val="18"/>
                <w:vertAlign w:val="superscript"/>
              </w:rPr>
              <w:t>17</w:t>
            </w:r>
            <w:r w:rsidRPr="00BE4B33">
              <w:rPr>
                <w:rFonts w:asciiTheme="minorHAnsi" w:eastAsia="Calibri" w:hAnsiTheme="minorHAnsi" w:cstheme="minorHAnsi"/>
                <w:color w:val="000000" w:themeColor="text1"/>
                <w:sz w:val="18"/>
                <w:szCs w:val="18"/>
              </w:rPr>
              <w:t>;</w:t>
            </w:r>
          </w:p>
          <w:p w14:paraId="67CBC854"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Respect the patient’s will when they are unconscious or incapable</w:t>
            </w:r>
            <w:r w:rsidRPr="00BE4B33">
              <w:rPr>
                <w:rFonts w:asciiTheme="minorHAnsi" w:eastAsia="Calibri" w:hAnsiTheme="minorHAnsi" w:cstheme="minorHAnsi"/>
                <w:color w:val="000000" w:themeColor="text1"/>
                <w:sz w:val="18"/>
                <w:szCs w:val="18"/>
                <w:vertAlign w:val="superscript"/>
              </w:rPr>
              <w:t>34</w:t>
            </w:r>
            <w:r w:rsidRPr="00BE4B33">
              <w:rPr>
                <w:rFonts w:asciiTheme="minorHAnsi" w:eastAsia="Calibri" w:hAnsiTheme="minorHAnsi" w:cstheme="minorHAnsi"/>
                <w:color w:val="000000" w:themeColor="text1"/>
                <w:sz w:val="18"/>
                <w:szCs w:val="18"/>
              </w:rPr>
              <w:t>;</w:t>
            </w:r>
          </w:p>
          <w:p w14:paraId="0FD13C53"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Be ethically prepared in order to identify ethical and/or moral conflicts in the professional-patient relationship</w:t>
            </w:r>
            <w:r w:rsidRPr="00BE4B33">
              <w:rPr>
                <w:rFonts w:asciiTheme="minorHAnsi" w:eastAsia="Calibri" w:hAnsiTheme="minorHAnsi" w:cstheme="minorHAnsi"/>
                <w:color w:val="000000" w:themeColor="text1"/>
                <w:sz w:val="18"/>
                <w:szCs w:val="18"/>
                <w:vertAlign w:val="superscript"/>
              </w:rPr>
              <w:t>34</w:t>
            </w:r>
            <w:r w:rsidRPr="00BE4B33">
              <w:rPr>
                <w:rFonts w:asciiTheme="minorHAnsi" w:eastAsia="Calibri" w:hAnsiTheme="minorHAnsi" w:cstheme="minorHAnsi"/>
                <w:color w:val="000000" w:themeColor="text1"/>
                <w:sz w:val="18"/>
                <w:szCs w:val="18"/>
              </w:rPr>
              <w:t>;</w:t>
            </w:r>
          </w:p>
          <w:p w14:paraId="6903EEA7"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Contact the ethics committee if the hospital has this service</w:t>
            </w:r>
            <w:r w:rsidRPr="00BE4B33">
              <w:rPr>
                <w:rFonts w:asciiTheme="minorHAnsi" w:eastAsia="Calibri" w:hAnsiTheme="minorHAnsi" w:cstheme="minorHAnsi"/>
                <w:color w:val="000000" w:themeColor="text1"/>
                <w:sz w:val="18"/>
                <w:szCs w:val="18"/>
                <w:vertAlign w:val="superscript"/>
              </w:rPr>
              <w:t>15,20,24</w:t>
            </w:r>
            <w:r w:rsidRPr="00BE4B33">
              <w:rPr>
                <w:rFonts w:asciiTheme="minorHAnsi" w:eastAsia="Calibri" w:hAnsiTheme="minorHAnsi" w:cstheme="minorHAnsi"/>
                <w:color w:val="000000" w:themeColor="text1"/>
                <w:sz w:val="18"/>
                <w:szCs w:val="18"/>
              </w:rPr>
              <w:t>;</w:t>
            </w:r>
          </w:p>
          <w:p w14:paraId="56E766D7"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Ensure patient confidentiality in case they decide to accept blood</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w:t>
            </w:r>
          </w:p>
          <w:p w14:paraId="06612EB6"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Make contingency plans in advance</w:t>
            </w:r>
            <w:r w:rsidRPr="00BE4B33">
              <w:rPr>
                <w:rFonts w:asciiTheme="minorHAnsi" w:eastAsia="Calibri" w:hAnsiTheme="minorHAnsi" w:cstheme="minorHAnsi"/>
                <w:color w:val="000000" w:themeColor="text1"/>
                <w:sz w:val="18"/>
                <w:szCs w:val="18"/>
                <w:vertAlign w:val="superscript"/>
              </w:rPr>
              <w:t>24</w:t>
            </w:r>
            <w:r w:rsidRPr="00BE4B33">
              <w:rPr>
                <w:rFonts w:asciiTheme="minorHAnsi" w:eastAsia="Calibri" w:hAnsiTheme="minorHAnsi" w:cstheme="minorHAnsi"/>
                <w:color w:val="000000" w:themeColor="text1"/>
                <w:sz w:val="18"/>
                <w:szCs w:val="18"/>
              </w:rPr>
              <w:t>;</w:t>
            </w:r>
          </w:p>
          <w:p w14:paraId="59499F1C"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Respect the patient’s advance directives in an emergency</w:t>
            </w:r>
            <w:r w:rsidRPr="00BE4B33">
              <w:rPr>
                <w:rFonts w:asciiTheme="minorHAnsi" w:eastAsia="Calibri" w:hAnsiTheme="minorHAnsi" w:cstheme="minorHAnsi"/>
                <w:color w:val="000000" w:themeColor="text1"/>
                <w:sz w:val="18"/>
                <w:szCs w:val="18"/>
                <w:vertAlign w:val="superscript"/>
              </w:rPr>
              <w:t>30,31</w:t>
            </w:r>
            <w:r w:rsidRPr="00BE4B33">
              <w:rPr>
                <w:rFonts w:asciiTheme="minorHAnsi" w:eastAsia="Calibri" w:hAnsiTheme="minorHAnsi" w:cstheme="minorHAnsi"/>
                <w:color w:val="000000" w:themeColor="text1"/>
                <w:sz w:val="18"/>
                <w:szCs w:val="18"/>
              </w:rPr>
              <w:t>;</w:t>
            </w:r>
          </w:p>
          <w:p w14:paraId="7869C857"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Evaluate moral duties and obligations according to their professional code of ethics</w:t>
            </w:r>
            <w:r w:rsidRPr="00BE4B33">
              <w:rPr>
                <w:rFonts w:asciiTheme="minorHAnsi" w:eastAsia="Calibri" w:hAnsiTheme="minorHAnsi" w:cstheme="minorHAnsi"/>
                <w:color w:val="000000" w:themeColor="text1"/>
                <w:sz w:val="18"/>
                <w:szCs w:val="18"/>
                <w:vertAlign w:val="superscript"/>
              </w:rPr>
              <w:t>14</w:t>
            </w:r>
            <w:r w:rsidRPr="00BE4B33">
              <w:rPr>
                <w:rFonts w:asciiTheme="minorHAnsi" w:eastAsia="Calibri" w:hAnsiTheme="minorHAnsi" w:cstheme="minorHAnsi"/>
                <w:color w:val="000000" w:themeColor="text1"/>
                <w:sz w:val="18"/>
                <w:szCs w:val="18"/>
              </w:rPr>
              <w:t>;</w:t>
            </w:r>
          </w:p>
          <w:p w14:paraId="0D37A346"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Establish clear protocols in order to not delay necessary surgeries</w:t>
            </w:r>
            <w:r w:rsidRPr="00BE4B33">
              <w:rPr>
                <w:rFonts w:asciiTheme="minorHAnsi" w:eastAsia="Calibri" w:hAnsiTheme="minorHAnsi" w:cstheme="minorHAnsi"/>
                <w:color w:val="000000" w:themeColor="text1"/>
                <w:sz w:val="18"/>
                <w:szCs w:val="18"/>
                <w:vertAlign w:val="superscript"/>
              </w:rPr>
              <w:t>14</w:t>
            </w:r>
            <w:r w:rsidRPr="00BE4B33">
              <w:rPr>
                <w:rFonts w:asciiTheme="minorHAnsi" w:eastAsia="Calibri" w:hAnsiTheme="minorHAnsi" w:cstheme="minorHAnsi"/>
                <w:color w:val="000000" w:themeColor="text1"/>
                <w:sz w:val="18"/>
                <w:szCs w:val="18"/>
              </w:rPr>
              <w:t>;</w:t>
            </w:r>
          </w:p>
          <w:p w14:paraId="2A7F7D09"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vertAlign w:val="superscript"/>
              </w:rPr>
            </w:pPr>
            <w:r w:rsidRPr="00BE4B33">
              <w:rPr>
                <w:rFonts w:asciiTheme="minorHAnsi" w:eastAsia="Calibri" w:hAnsiTheme="minorHAnsi" w:cstheme="minorHAnsi"/>
                <w:color w:val="000000" w:themeColor="text1"/>
                <w:sz w:val="18"/>
                <w:szCs w:val="18"/>
              </w:rPr>
              <w:t>Respect patients’ convictions and beliefs and refrain from imposing your own convictions on them</w:t>
            </w:r>
            <w:r w:rsidRPr="00BE4B33">
              <w:rPr>
                <w:rFonts w:asciiTheme="minorHAnsi" w:eastAsia="Calibri" w:hAnsiTheme="minorHAnsi" w:cstheme="minorHAnsi"/>
                <w:color w:val="000000" w:themeColor="text1"/>
                <w:sz w:val="18"/>
                <w:szCs w:val="18"/>
                <w:vertAlign w:val="superscript"/>
              </w:rPr>
              <w:t>33</w:t>
            </w:r>
            <w:r w:rsidRPr="00BE4B33">
              <w:rPr>
                <w:rFonts w:asciiTheme="minorHAnsi" w:eastAsia="Calibri" w:hAnsiTheme="minorHAnsi" w:cstheme="minorHAnsi"/>
                <w:color w:val="000000" w:themeColor="text1"/>
                <w:sz w:val="18"/>
                <w:szCs w:val="18"/>
              </w:rPr>
              <w:t>;</w:t>
            </w:r>
          </w:p>
        </w:tc>
      </w:tr>
      <w:tr w:rsidR="00BE4B33" w:rsidRPr="001D4902" w14:paraId="5A1FDC63" w14:textId="77777777" w:rsidTr="004F24E7">
        <w:tc>
          <w:tcPr>
            <w:tcW w:w="9634" w:type="dxa"/>
          </w:tcPr>
          <w:p w14:paraId="4B3C0F32" w14:textId="77777777" w:rsidR="00BE4B33" w:rsidRPr="00BE4B33" w:rsidRDefault="00BE4B33" w:rsidP="004F24E7">
            <w:pPr>
              <w:spacing w:after="0" w:line="240" w:lineRule="auto"/>
              <w:ind w:firstLine="27"/>
              <w:jc w:val="both"/>
              <w:rPr>
                <w:rFonts w:asciiTheme="minorHAnsi" w:eastAsia="Calibri" w:hAnsiTheme="minorHAnsi" w:cstheme="minorHAnsi"/>
                <w:b/>
                <w:color w:val="000000" w:themeColor="text1"/>
                <w:sz w:val="18"/>
                <w:szCs w:val="18"/>
              </w:rPr>
            </w:pPr>
            <w:r w:rsidRPr="00BE4B33">
              <w:rPr>
                <w:rFonts w:asciiTheme="minorHAnsi" w:eastAsia="Calibri" w:hAnsiTheme="minorHAnsi" w:cstheme="minorHAnsi"/>
                <w:b/>
                <w:color w:val="000000" w:themeColor="text1"/>
                <w:sz w:val="18"/>
                <w:szCs w:val="18"/>
              </w:rPr>
              <w:t>Category 3: Legal approach when there is refusal by a Jehovah’s Witness patient</w:t>
            </w:r>
          </w:p>
        </w:tc>
      </w:tr>
      <w:tr w:rsidR="00BE4B33" w:rsidRPr="001D4902" w14:paraId="3DEB9977" w14:textId="77777777" w:rsidTr="004F24E7">
        <w:tc>
          <w:tcPr>
            <w:tcW w:w="9634" w:type="dxa"/>
          </w:tcPr>
          <w:p w14:paraId="13569909"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Document each successive conversation in the patient’s chart and the care provided</w:t>
            </w:r>
            <w:r w:rsidRPr="00BE4B33">
              <w:rPr>
                <w:rFonts w:asciiTheme="minorHAnsi" w:eastAsia="Calibri" w:hAnsiTheme="minorHAnsi" w:cstheme="minorHAnsi"/>
                <w:color w:val="000000" w:themeColor="text1"/>
                <w:sz w:val="18"/>
                <w:szCs w:val="18"/>
                <w:vertAlign w:val="superscript"/>
              </w:rPr>
              <w:t>17,24,27,30</w:t>
            </w:r>
            <w:r w:rsidRPr="00BE4B33">
              <w:rPr>
                <w:rFonts w:asciiTheme="minorHAnsi" w:eastAsia="Calibri" w:hAnsiTheme="minorHAnsi" w:cstheme="minorHAnsi"/>
                <w:color w:val="000000" w:themeColor="text1"/>
                <w:sz w:val="18"/>
                <w:szCs w:val="18"/>
              </w:rPr>
              <w:t>;</w:t>
            </w:r>
          </w:p>
          <w:p w14:paraId="7C39A44A"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Obtain signed consent before any surgical procedure</w:t>
            </w:r>
            <w:r w:rsidRPr="00BE4B33">
              <w:rPr>
                <w:rFonts w:asciiTheme="minorHAnsi" w:eastAsia="Calibri" w:hAnsiTheme="minorHAnsi" w:cstheme="minorHAnsi"/>
                <w:color w:val="000000" w:themeColor="text1"/>
                <w:sz w:val="18"/>
                <w:szCs w:val="18"/>
                <w:vertAlign w:val="superscript"/>
              </w:rPr>
              <w:t>15,16,22,23,26,27,30-34</w:t>
            </w:r>
            <w:r w:rsidRPr="00BE4B33">
              <w:rPr>
                <w:rFonts w:asciiTheme="minorHAnsi" w:eastAsia="Calibri" w:hAnsiTheme="minorHAnsi" w:cstheme="minorHAnsi"/>
                <w:color w:val="000000" w:themeColor="text1"/>
                <w:sz w:val="18"/>
                <w:szCs w:val="18"/>
              </w:rPr>
              <w:t>;</w:t>
            </w:r>
          </w:p>
          <w:p w14:paraId="4A60A9A9"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Advise the patient that a refusal of treatment must be recorded in writing and can be made in advance through a document of prior instructions (advance directives)</w:t>
            </w:r>
            <w:r w:rsidRPr="00BE4B33">
              <w:rPr>
                <w:rFonts w:asciiTheme="minorHAnsi" w:eastAsia="Calibri" w:hAnsiTheme="minorHAnsi" w:cstheme="minorHAnsi"/>
                <w:color w:val="000000" w:themeColor="text1"/>
                <w:sz w:val="18"/>
                <w:szCs w:val="18"/>
                <w:vertAlign w:val="superscript"/>
              </w:rPr>
              <w:t>15,27,28,30,32-34</w:t>
            </w:r>
            <w:r w:rsidRPr="00BE4B33">
              <w:rPr>
                <w:rFonts w:asciiTheme="minorHAnsi" w:eastAsia="Calibri" w:hAnsiTheme="minorHAnsi" w:cstheme="minorHAnsi"/>
                <w:color w:val="000000" w:themeColor="text1"/>
                <w:sz w:val="18"/>
                <w:szCs w:val="18"/>
              </w:rPr>
              <w:t>;</w:t>
            </w:r>
          </w:p>
          <w:p w14:paraId="79599F1E"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Respect the patient’s right protected by law to refuse blood transfusion</w:t>
            </w:r>
            <w:r w:rsidRPr="00BE4B33">
              <w:rPr>
                <w:rFonts w:asciiTheme="minorHAnsi" w:eastAsia="Calibri" w:hAnsiTheme="minorHAnsi" w:cstheme="minorHAnsi"/>
                <w:color w:val="000000" w:themeColor="text1"/>
                <w:sz w:val="18"/>
                <w:szCs w:val="18"/>
                <w:vertAlign w:val="superscript"/>
              </w:rPr>
              <w:t>33</w:t>
            </w:r>
            <w:r w:rsidRPr="00BE4B33">
              <w:rPr>
                <w:rFonts w:asciiTheme="minorHAnsi" w:eastAsia="Calibri" w:hAnsiTheme="minorHAnsi" w:cstheme="minorHAnsi"/>
                <w:color w:val="000000" w:themeColor="text1"/>
                <w:sz w:val="18"/>
                <w:szCs w:val="18"/>
              </w:rPr>
              <w:t>;</w:t>
            </w:r>
          </w:p>
          <w:p w14:paraId="7E3A4339" w14:textId="77777777" w:rsidR="00BE4B33" w:rsidRPr="00BE4B33" w:rsidRDefault="00BE4B33" w:rsidP="004F24E7">
            <w:pPr>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Respect, recognize and carry out actions that ensure the patient’s right recommended by COFEN Resolution No. 311/2007 (specific for Nursing professionals)</w:t>
            </w:r>
            <w:r w:rsidRPr="00BE4B33">
              <w:rPr>
                <w:rFonts w:asciiTheme="minorHAnsi" w:eastAsia="Calibri" w:hAnsiTheme="minorHAnsi" w:cstheme="minorHAnsi"/>
                <w:color w:val="000000" w:themeColor="text1"/>
                <w:sz w:val="18"/>
                <w:szCs w:val="18"/>
                <w:vertAlign w:val="superscript"/>
              </w:rPr>
              <w:t>22</w:t>
            </w:r>
            <w:r w:rsidRPr="00BE4B33">
              <w:rPr>
                <w:rFonts w:asciiTheme="minorHAnsi" w:eastAsia="Calibri" w:hAnsiTheme="minorHAnsi" w:cstheme="minorHAnsi"/>
                <w:color w:val="000000" w:themeColor="text1"/>
                <w:sz w:val="18"/>
                <w:szCs w:val="18"/>
              </w:rPr>
              <w:t>;</w:t>
            </w:r>
          </w:p>
          <w:p w14:paraId="1C31CF54" w14:textId="77777777" w:rsidR="00BE4B33" w:rsidRPr="00BE4B33" w:rsidRDefault="00BE4B33" w:rsidP="004F24E7">
            <w:pPr>
              <w:widowControl w:val="0"/>
              <w:spacing w:after="0" w:line="240" w:lineRule="auto"/>
              <w:ind w:firstLine="27"/>
              <w:jc w:val="both"/>
              <w:rPr>
                <w:rFonts w:asciiTheme="minorHAnsi" w:eastAsia="Calibri" w:hAnsiTheme="minorHAnsi" w:cstheme="minorHAnsi"/>
                <w:color w:val="000000" w:themeColor="text1"/>
                <w:sz w:val="18"/>
                <w:szCs w:val="18"/>
              </w:rPr>
            </w:pPr>
            <w:r w:rsidRPr="00BE4B33">
              <w:rPr>
                <w:rFonts w:asciiTheme="minorHAnsi" w:eastAsia="Calibri" w:hAnsiTheme="minorHAnsi" w:cstheme="minorHAnsi"/>
                <w:color w:val="000000" w:themeColor="text1"/>
                <w:sz w:val="18"/>
                <w:szCs w:val="18"/>
              </w:rPr>
              <w:t>Not implementing or participating in healthcare without the consent of the person or their legal representative, except in imminent risk of death</w:t>
            </w:r>
            <w:r w:rsidRPr="00BE4B33">
              <w:rPr>
                <w:rFonts w:asciiTheme="minorHAnsi" w:eastAsia="Calibri" w:hAnsiTheme="minorHAnsi" w:cstheme="minorHAnsi"/>
                <w:color w:val="000000" w:themeColor="text1"/>
                <w:sz w:val="18"/>
                <w:szCs w:val="18"/>
                <w:vertAlign w:val="superscript"/>
              </w:rPr>
              <w:t>22</w:t>
            </w:r>
            <w:r w:rsidRPr="00BE4B33">
              <w:rPr>
                <w:rFonts w:asciiTheme="minorHAnsi" w:eastAsia="Calibri" w:hAnsiTheme="minorHAnsi" w:cstheme="minorHAnsi"/>
                <w:color w:val="000000" w:themeColor="text1"/>
                <w:sz w:val="18"/>
                <w:szCs w:val="18"/>
              </w:rPr>
              <w:t>.</w:t>
            </w:r>
          </w:p>
        </w:tc>
      </w:tr>
    </w:tbl>
    <w:p w14:paraId="41F0A4BD" w14:textId="6076A21C" w:rsidR="00BE4B33" w:rsidRPr="00BE4B33" w:rsidRDefault="00BE4B33" w:rsidP="00BE4B33">
      <w:pPr>
        <w:spacing w:after="120" w:line="240" w:lineRule="auto"/>
        <w:jc w:val="both"/>
        <w:rPr>
          <w:rFonts w:ascii="Calibri" w:eastAsia="Calibri" w:hAnsi="Calibri" w:cs="Calibri"/>
          <w:b/>
          <w:color w:val="000000" w:themeColor="text1"/>
          <w:sz w:val="16"/>
          <w:szCs w:val="16"/>
        </w:rPr>
      </w:pPr>
      <w:bookmarkStart w:id="2" w:name="_2et92p0" w:colFirst="0" w:colLast="0"/>
      <w:bookmarkEnd w:id="2"/>
      <w:r w:rsidRPr="00BE4B33">
        <w:rPr>
          <w:rFonts w:ascii="Calibri" w:eastAsia="Calibri" w:hAnsi="Calibri" w:cs="Calibri"/>
          <w:b/>
          <w:color w:val="000000" w:themeColor="text1"/>
          <w:sz w:val="16"/>
          <w:szCs w:val="16"/>
        </w:rPr>
        <w:t xml:space="preserve">FIGURE </w:t>
      </w:r>
      <w:r>
        <w:rPr>
          <w:rFonts w:ascii="Calibri" w:eastAsia="Calibri" w:hAnsi="Calibri" w:cs="Calibri"/>
          <w:b/>
          <w:color w:val="000000" w:themeColor="text1"/>
          <w:sz w:val="16"/>
          <w:szCs w:val="16"/>
        </w:rPr>
        <w:t>5</w:t>
      </w:r>
      <w:r w:rsidRPr="00BE4B33">
        <w:rPr>
          <w:rFonts w:ascii="Calibri" w:eastAsia="Calibri" w:hAnsi="Calibri" w:cs="Calibri"/>
          <w:b/>
          <w:color w:val="000000" w:themeColor="text1"/>
          <w:sz w:val="16"/>
          <w:szCs w:val="16"/>
        </w:rPr>
        <w:t>:</w:t>
      </w:r>
      <w:r w:rsidRPr="00BE4B33">
        <w:rPr>
          <w:rFonts w:ascii="Calibri" w:eastAsia="Calibri" w:hAnsi="Calibri" w:cs="Calibri"/>
          <w:color w:val="000000" w:themeColor="text1"/>
          <w:sz w:val="16"/>
          <w:szCs w:val="16"/>
        </w:rPr>
        <w:t xml:space="preserve"> Synthesis of the strategies used in the approach to Jehovah’s Witness patients</w:t>
      </w:r>
      <w:r>
        <w:rPr>
          <w:rFonts w:ascii="Calibri" w:eastAsia="Calibri" w:hAnsi="Calibri" w:cs="Calibri"/>
          <w:color w:val="000000" w:themeColor="text1"/>
          <w:sz w:val="16"/>
          <w:szCs w:val="16"/>
        </w:rPr>
        <w:t>: category 1</w:t>
      </w:r>
      <w:r w:rsidRPr="00BE4B33">
        <w:rPr>
          <w:rFonts w:ascii="Calibri" w:eastAsia="Calibri" w:hAnsi="Calibri" w:cs="Calibri"/>
          <w:color w:val="000000" w:themeColor="text1"/>
          <w:sz w:val="16"/>
          <w:szCs w:val="16"/>
        </w:rPr>
        <w:t>. Rio de Janeiro, RJ, Brazil, 2020.</w:t>
      </w:r>
    </w:p>
    <w:p w14:paraId="5F9542F6" w14:textId="77777777" w:rsidR="00BE4B33" w:rsidRPr="001D4902" w:rsidRDefault="00BE4B33" w:rsidP="00840612">
      <w:pPr>
        <w:spacing w:after="120" w:line="240" w:lineRule="auto"/>
        <w:ind w:firstLine="454"/>
        <w:jc w:val="both"/>
        <w:rPr>
          <w:rFonts w:ascii="Calibri" w:eastAsia="Calibri" w:hAnsi="Calibri" w:cs="Calibri"/>
          <w:b/>
          <w:color w:val="000000" w:themeColor="text1"/>
          <w:sz w:val="20"/>
          <w:szCs w:val="20"/>
        </w:rPr>
      </w:pPr>
    </w:p>
    <w:p w14:paraId="38C1AA55" w14:textId="77777777" w:rsidR="00840612" w:rsidRPr="001D4902" w:rsidRDefault="00840612" w:rsidP="00BE4B33">
      <w:pPr>
        <w:spacing w:after="120" w:line="240" w:lineRule="auto"/>
        <w:jc w:val="both"/>
        <w:rPr>
          <w:rFonts w:ascii="Calibri" w:eastAsia="Calibri" w:hAnsi="Calibri" w:cs="Calibri"/>
          <w:b/>
          <w:color w:val="000000" w:themeColor="text1"/>
          <w:sz w:val="20"/>
          <w:szCs w:val="20"/>
        </w:rPr>
      </w:pPr>
      <w:r w:rsidRPr="001D4902">
        <w:rPr>
          <w:rFonts w:ascii="Calibri" w:eastAsia="Calibri" w:hAnsi="Calibri" w:cs="Calibri"/>
          <w:b/>
          <w:color w:val="000000" w:themeColor="text1"/>
          <w:sz w:val="20"/>
          <w:szCs w:val="20"/>
        </w:rPr>
        <w:t>DISCUSSION</w:t>
      </w:r>
    </w:p>
    <w:p w14:paraId="78B0436F"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Followers of the Jehovah’s Witness    community have been criticized for refusing blood transfusions for decades. However, with advances in bloodless surgery and the development of alternatives to transfusion, there has been an increased focus on managing patients who establish refusal. Their autonomy and consent for medical treatments have been discussed in both the ethical and legal fields</w:t>
      </w:r>
      <w:r w:rsidRPr="001D4902">
        <w:rPr>
          <w:rFonts w:ascii="Calibri" w:eastAsia="Calibri" w:hAnsi="Calibri" w:cs="Calibri"/>
          <w:color w:val="000000" w:themeColor="text1"/>
          <w:sz w:val="20"/>
          <w:szCs w:val="20"/>
          <w:vertAlign w:val="superscript"/>
        </w:rPr>
        <w:t>18,25</w:t>
      </w:r>
      <w:r w:rsidRPr="001D4902">
        <w:rPr>
          <w:rFonts w:ascii="Calibri" w:eastAsia="Calibri" w:hAnsi="Calibri" w:cs="Calibri"/>
          <w:color w:val="000000" w:themeColor="text1"/>
          <w:sz w:val="20"/>
          <w:szCs w:val="20"/>
        </w:rPr>
        <w:t>.</w:t>
      </w:r>
    </w:p>
    <w:p w14:paraId="1D18013F"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Most of the studies analyzed addressed alternative strategies to blood transfusion, showing that health professionals are seeking new approaches to treatments which were previously only possible through blood transfusion. This is very positive to guide the care provided to both Jehovah’s Witness patients and patients who, for another reason, also do not accept blood-based treatments. Thus, as evidenced by the studies analyzed, the rejection of blood products is not only restricted to the religions in question</w:t>
      </w:r>
      <w:r w:rsidRPr="001D4902">
        <w:rPr>
          <w:rFonts w:ascii="Calibri" w:eastAsia="Calibri" w:hAnsi="Calibri" w:cs="Calibri"/>
          <w:color w:val="000000" w:themeColor="text1"/>
          <w:sz w:val="20"/>
          <w:szCs w:val="20"/>
          <w:vertAlign w:val="superscript"/>
        </w:rPr>
        <w:t>16,17,19,22,24,25,33,31,33</w:t>
      </w:r>
      <w:r w:rsidRPr="001D4902">
        <w:rPr>
          <w:rFonts w:ascii="Calibri" w:eastAsia="Calibri" w:hAnsi="Calibri" w:cs="Calibri"/>
          <w:color w:val="000000" w:themeColor="text1"/>
          <w:sz w:val="20"/>
          <w:szCs w:val="20"/>
        </w:rPr>
        <w:t>.</w:t>
      </w:r>
    </w:p>
    <w:p w14:paraId="3CF4948B"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Many authors assure that alternative strategies are simple, safe and effective as they involve a series of pharmacological and non-pharmacological technologies to minimize or abdicate the need for a blood transfusion through good anesthetic and surgical management, thus reducing blood loss. A simple, low-cost method that can be used by nurses is to perform a good anamnesis in order to recognize risk factors for bleeding or anemia, which can help predict the need for preventive or control measures</w:t>
      </w:r>
      <w:r w:rsidRPr="001D4902">
        <w:rPr>
          <w:rFonts w:ascii="Calibri" w:eastAsia="Calibri" w:hAnsi="Calibri" w:cs="Calibri"/>
          <w:color w:val="000000" w:themeColor="text1"/>
          <w:sz w:val="20"/>
          <w:szCs w:val="20"/>
          <w:vertAlign w:val="superscript"/>
        </w:rPr>
        <w:t>20,24,25, 30,31</w:t>
      </w:r>
      <w:r w:rsidRPr="001D4902">
        <w:rPr>
          <w:rFonts w:ascii="Calibri" w:eastAsia="Calibri" w:hAnsi="Calibri" w:cs="Calibri"/>
          <w:color w:val="000000" w:themeColor="text1"/>
          <w:sz w:val="20"/>
          <w:szCs w:val="20"/>
        </w:rPr>
        <w:t>.</w:t>
      </w:r>
    </w:p>
    <w:p w14:paraId="0DF37D5A"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Another intervention often cited by the authors is the use of bloodless volume expanders (crystalloids and colloids), but more advanced technologies such as cardiopulmonary bypass, extracorporeal membrane oxygenation (ECMO), and controlled hypotension (among others) can also be used. It is worth highlighting the importance of the multidisciplinary team working together, providing humanized and comprehensive care, in addition to providing opportunities for the exchange of interprofessional knowledge in order to improve the care results</w:t>
      </w:r>
      <w:r w:rsidRPr="001D4902">
        <w:rPr>
          <w:rFonts w:ascii="Calibri" w:eastAsia="Calibri" w:hAnsi="Calibri" w:cs="Calibri"/>
          <w:color w:val="000000" w:themeColor="text1"/>
          <w:sz w:val="20"/>
          <w:szCs w:val="20"/>
          <w:vertAlign w:val="superscript"/>
        </w:rPr>
        <w:t>15,16,19,21,22,24,26,30,31,</w:t>
      </w:r>
      <w:proofErr w:type="gramStart"/>
      <w:r w:rsidRPr="001D4902">
        <w:rPr>
          <w:rFonts w:ascii="Calibri" w:eastAsia="Calibri" w:hAnsi="Calibri" w:cs="Calibri"/>
          <w:color w:val="000000" w:themeColor="text1"/>
          <w:sz w:val="20"/>
          <w:szCs w:val="20"/>
          <w:vertAlign w:val="superscript"/>
        </w:rPr>
        <w:t>33,35,</w:t>
      </w:r>
      <w:r w:rsidRPr="001D4902">
        <w:rPr>
          <w:rFonts w:ascii="Calibri" w:eastAsia="Calibri" w:hAnsi="Calibri" w:cs="Calibri"/>
          <w:color w:val="000000" w:themeColor="text1"/>
          <w:sz w:val="20"/>
          <w:szCs w:val="20"/>
        </w:rPr>
        <w:t>.</w:t>
      </w:r>
      <w:proofErr w:type="gramEnd"/>
    </w:p>
    <w:p w14:paraId="511CABE7"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lastRenderedPageBreak/>
        <w:t>It was evident in the findings that all the authors studied agree that there is in fact an ethical dilemma when a JW patient does not accept to be transfused. Therefore, the professional-patient relationship imposes an ethical duty on the health professional to act in the best interests of the patient, however the limit of beneficence is the patient’s autonomy, although the professional is committed to doing good, they cannot decide in place of the patient what is best for them</w:t>
      </w:r>
      <w:r w:rsidRPr="001D4902">
        <w:rPr>
          <w:rFonts w:ascii="Calibri" w:eastAsia="Calibri" w:hAnsi="Calibri" w:cs="Calibri"/>
          <w:color w:val="000000" w:themeColor="text1"/>
          <w:sz w:val="20"/>
          <w:szCs w:val="20"/>
          <w:vertAlign w:val="superscript"/>
        </w:rPr>
        <w:t>14,6-18,20,2123,28,30,31</w:t>
      </w:r>
      <w:r w:rsidRPr="001D4902">
        <w:rPr>
          <w:rFonts w:ascii="Calibri" w:eastAsia="Calibri" w:hAnsi="Calibri" w:cs="Calibri"/>
          <w:color w:val="000000" w:themeColor="text1"/>
          <w:sz w:val="20"/>
          <w:szCs w:val="20"/>
        </w:rPr>
        <w:t>.</w:t>
      </w:r>
    </w:p>
    <w:p w14:paraId="53FB9E53"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Given the above, the bioethical preparation of professionals who provide care to these patients is very important, as therapeutic rejection of blood is an individual point of view, a manifestation of right, autonomy and free will that is provided for by law. Despite blood refusal, professionals need to maintain good communication and a good relationship with the patient, which some authors describe as the key to obtaining the best possible result in a difficult situation</w:t>
      </w:r>
      <w:r w:rsidRPr="001D4902">
        <w:rPr>
          <w:rFonts w:ascii="Calibri" w:eastAsia="Calibri" w:hAnsi="Calibri" w:cs="Calibri"/>
          <w:color w:val="000000" w:themeColor="text1"/>
          <w:sz w:val="20"/>
          <w:szCs w:val="20"/>
          <w:vertAlign w:val="superscript"/>
        </w:rPr>
        <w:t>17,18,20,24</w:t>
      </w:r>
      <w:r w:rsidRPr="001D4902">
        <w:rPr>
          <w:rFonts w:ascii="Calibri" w:eastAsia="Calibri" w:hAnsi="Calibri" w:cs="Calibri"/>
          <w:color w:val="000000" w:themeColor="text1"/>
          <w:sz w:val="20"/>
          <w:szCs w:val="20"/>
        </w:rPr>
        <w:t>. However, if the health professional does not feel comfortable providing care to a Jehovah’s Witness patient, they can refer the patient to another professional, which is ethically acceptable</w:t>
      </w:r>
      <w:r w:rsidRPr="001D4902">
        <w:rPr>
          <w:rFonts w:ascii="Calibri" w:eastAsia="Calibri" w:hAnsi="Calibri" w:cs="Calibri"/>
          <w:color w:val="000000" w:themeColor="text1"/>
          <w:sz w:val="20"/>
          <w:szCs w:val="20"/>
          <w:vertAlign w:val="superscript"/>
        </w:rPr>
        <w:t>24,31</w:t>
      </w:r>
      <w:r w:rsidRPr="001D4902">
        <w:rPr>
          <w:rFonts w:ascii="Calibri" w:eastAsia="Calibri" w:hAnsi="Calibri" w:cs="Calibri"/>
          <w:color w:val="000000" w:themeColor="text1"/>
          <w:sz w:val="20"/>
          <w:szCs w:val="20"/>
        </w:rPr>
        <w:t>.</w:t>
      </w:r>
    </w:p>
    <w:p w14:paraId="76F5B515"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Taking into account the bibliographic materials analyzed and their results, it was evident the importance of Jehovah’s Witness patients having documents which legally validate their therapeutic refusal (advance directives) in case they become unconscious</w:t>
      </w:r>
      <w:r w:rsidRPr="001D4902">
        <w:rPr>
          <w:rFonts w:ascii="Calibri" w:eastAsia="Calibri" w:hAnsi="Calibri" w:cs="Calibri"/>
          <w:color w:val="000000" w:themeColor="text1"/>
          <w:sz w:val="20"/>
          <w:szCs w:val="20"/>
          <w:vertAlign w:val="superscript"/>
        </w:rPr>
        <w:t>15,17,27,28,30,32-34</w:t>
      </w:r>
      <w:r w:rsidRPr="001D4902">
        <w:rPr>
          <w:rFonts w:ascii="Calibri" w:eastAsia="Calibri" w:hAnsi="Calibri" w:cs="Calibri"/>
          <w:color w:val="000000" w:themeColor="text1"/>
          <w:sz w:val="20"/>
          <w:szCs w:val="20"/>
        </w:rPr>
        <w:t>. In this sense, the record is of fundamental importance to support the professional, being advised by the authors to document each successive conversation in the patient’s chart and the care provided, with it being important to describe which treatments are acceptable or not by the patient</w:t>
      </w:r>
      <w:r w:rsidRPr="001D4902">
        <w:rPr>
          <w:rFonts w:ascii="Calibri" w:eastAsia="Calibri" w:hAnsi="Calibri" w:cs="Calibri"/>
          <w:color w:val="000000" w:themeColor="text1"/>
          <w:sz w:val="20"/>
          <w:szCs w:val="20"/>
          <w:vertAlign w:val="superscript"/>
        </w:rPr>
        <w:t>17,24,25,2730</w:t>
      </w:r>
      <w:r w:rsidRPr="001D4902">
        <w:rPr>
          <w:rFonts w:ascii="Calibri" w:eastAsia="Calibri" w:hAnsi="Calibri" w:cs="Calibri"/>
          <w:color w:val="000000" w:themeColor="text1"/>
          <w:sz w:val="20"/>
          <w:szCs w:val="20"/>
        </w:rPr>
        <w:t>.</w:t>
      </w:r>
      <w:r w:rsidRPr="001D4902">
        <w:rPr>
          <w:rFonts w:ascii="Calibri" w:eastAsia="Calibri" w:hAnsi="Calibri" w:cs="Calibri"/>
          <w:color w:val="000000" w:themeColor="text1"/>
          <w:sz w:val="20"/>
          <w:szCs w:val="20"/>
          <w:vertAlign w:val="superscript"/>
        </w:rPr>
        <w:t xml:space="preserve"> </w:t>
      </w:r>
    </w:p>
    <w:p w14:paraId="4B30EC27"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In order to legally support professionals to act safely and perhaps not to have to criminally answer for acts contrary to their codes of ethics and the laws in force in their countries, it is of paramount importance to obtain the consent and signature of the patient for any procedure, including surgical</w:t>
      </w:r>
      <w:r w:rsidRPr="001D4902">
        <w:rPr>
          <w:rFonts w:ascii="Calibri" w:eastAsia="Calibri" w:hAnsi="Calibri" w:cs="Calibri"/>
          <w:color w:val="000000" w:themeColor="text1"/>
          <w:sz w:val="20"/>
          <w:szCs w:val="20"/>
          <w:vertAlign w:val="superscript"/>
        </w:rPr>
        <w:t>15-18,24-26,30,31,32-34</w:t>
      </w:r>
      <w:r w:rsidRPr="001D4902">
        <w:rPr>
          <w:rFonts w:ascii="Calibri" w:eastAsia="Calibri" w:hAnsi="Calibri" w:cs="Calibri"/>
          <w:color w:val="000000" w:themeColor="text1"/>
          <w:sz w:val="20"/>
          <w:szCs w:val="20"/>
        </w:rPr>
        <w:t>.</w:t>
      </w:r>
      <w:r w:rsidRPr="001D4902">
        <w:rPr>
          <w:rFonts w:ascii="Calibri" w:eastAsia="Calibri" w:hAnsi="Calibri" w:cs="Calibri"/>
          <w:color w:val="000000" w:themeColor="text1"/>
          <w:sz w:val="20"/>
          <w:szCs w:val="20"/>
          <w:vertAlign w:val="superscript"/>
        </w:rPr>
        <w:t xml:space="preserve"> </w:t>
      </w:r>
    </w:p>
    <w:p w14:paraId="2EE06205"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Thus, valuing the patient’s will integrates a logic of respect for developing their personal autonomy, their body, their health and their life with values based on the principle of human dignity. In this context, the issue of non-transfusion of blood by the patient should not be taken to the courts, as the situation transcends the legal issue and it is not up to the law to say what is ethical or determine which fundamental right should prevail in this situation</w:t>
      </w:r>
      <w:r w:rsidRPr="001D4902">
        <w:rPr>
          <w:rFonts w:ascii="Calibri" w:eastAsia="Calibri" w:hAnsi="Calibri" w:cs="Calibri"/>
          <w:color w:val="000000" w:themeColor="text1"/>
          <w:sz w:val="20"/>
          <w:szCs w:val="20"/>
          <w:vertAlign w:val="superscript"/>
        </w:rPr>
        <w:t>18,33</w:t>
      </w:r>
      <w:r w:rsidRPr="001D4902">
        <w:rPr>
          <w:rFonts w:ascii="Calibri" w:eastAsia="Calibri" w:hAnsi="Calibri" w:cs="Calibri"/>
          <w:color w:val="000000" w:themeColor="text1"/>
          <w:sz w:val="20"/>
          <w:szCs w:val="20"/>
        </w:rPr>
        <w:t>.</w:t>
      </w:r>
    </w:p>
    <w:p w14:paraId="06BE37F1" w14:textId="77777777" w:rsidR="00840612" w:rsidRPr="001D4902" w:rsidRDefault="00840612" w:rsidP="00BE4B33">
      <w:pPr>
        <w:spacing w:after="120" w:line="240" w:lineRule="auto"/>
        <w:jc w:val="both"/>
        <w:rPr>
          <w:rFonts w:ascii="Calibri" w:eastAsia="Calibri" w:hAnsi="Calibri" w:cs="Calibri"/>
          <w:b/>
          <w:color w:val="000000" w:themeColor="text1"/>
          <w:sz w:val="20"/>
          <w:szCs w:val="20"/>
        </w:rPr>
      </w:pPr>
      <w:r w:rsidRPr="001D4902">
        <w:rPr>
          <w:rFonts w:ascii="Calibri" w:eastAsia="Calibri" w:hAnsi="Calibri" w:cs="Calibri"/>
          <w:b/>
          <w:color w:val="000000" w:themeColor="text1"/>
          <w:sz w:val="20"/>
          <w:szCs w:val="20"/>
        </w:rPr>
        <w:t>Study limitations</w:t>
      </w:r>
    </w:p>
    <w:p w14:paraId="4A74D145"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r w:rsidRPr="001D4902">
        <w:rPr>
          <w:rFonts w:ascii="Calibri" w:eastAsia="Calibri" w:hAnsi="Calibri" w:cs="Calibri"/>
          <w:color w:val="000000" w:themeColor="text1"/>
          <w:sz w:val="20"/>
          <w:szCs w:val="20"/>
        </w:rPr>
        <w:t>Since contact was not established with the authors of studies not available on the internet, some important reference may have been excluded from this review, configuring as a limitation of this study.</w:t>
      </w:r>
    </w:p>
    <w:p w14:paraId="09A3DDB8" w14:textId="20C4AAB2" w:rsidR="00840612" w:rsidRPr="001D4902" w:rsidRDefault="00BE4B33" w:rsidP="00BE4B33">
      <w:pPr>
        <w:spacing w:after="120" w:line="240" w:lineRule="auto"/>
        <w:jc w:val="both"/>
        <w:rPr>
          <w:rFonts w:ascii="Calibri" w:eastAsia="Calibri" w:hAnsi="Calibri" w:cs="Calibri"/>
          <w:b/>
          <w:color w:val="000000" w:themeColor="text1"/>
          <w:sz w:val="20"/>
          <w:szCs w:val="20"/>
        </w:rPr>
      </w:pPr>
      <w:r w:rsidRPr="001D4902">
        <w:rPr>
          <w:rFonts w:ascii="Calibri" w:eastAsia="Calibri" w:hAnsi="Calibri" w:cs="Calibri"/>
          <w:b/>
          <w:color w:val="000000" w:themeColor="text1"/>
          <w:sz w:val="20"/>
          <w:szCs w:val="20"/>
        </w:rPr>
        <w:t>CONCLUSION</w:t>
      </w:r>
    </w:p>
    <w:p w14:paraId="6E7D9E01" w14:textId="77777777" w:rsidR="00840612" w:rsidRPr="001D4902" w:rsidRDefault="00840612" w:rsidP="00840612">
      <w:pPr>
        <w:spacing w:after="120" w:line="240" w:lineRule="auto"/>
        <w:ind w:firstLine="454"/>
        <w:jc w:val="both"/>
        <w:rPr>
          <w:rFonts w:ascii="Calibri" w:eastAsia="Calibri" w:hAnsi="Calibri" w:cs="Calibri"/>
          <w:color w:val="000000" w:themeColor="text1"/>
          <w:sz w:val="20"/>
          <w:szCs w:val="20"/>
        </w:rPr>
      </w:pPr>
      <w:bookmarkStart w:id="3" w:name="_3dy6vkm" w:colFirst="0" w:colLast="0"/>
      <w:bookmarkEnd w:id="3"/>
      <w:r w:rsidRPr="001D4902">
        <w:rPr>
          <w:rFonts w:ascii="Calibri" w:eastAsia="Calibri" w:hAnsi="Calibri" w:cs="Calibri"/>
          <w:color w:val="000000" w:themeColor="text1"/>
          <w:sz w:val="20"/>
          <w:szCs w:val="20"/>
        </w:rPr>
        <w:t>This scoping review allowed us to map the studies that address the issue of blood transfusion and blood components of Jehovah’s Witness patients, thereby allowing us to know the concerns, needs and challenges experienced by health professionals when dealing with denial of blood transfusion by these patients.</w:t>
      </w:r>
    </w:p>
    <w:p w14:paraId="43B75652" w14:textId="6423751C" w:rsidR="007D63BB" w:rsidRPr="00840612" w:rsidRDefault="00840612" w:rsidP="00840612">
      <w:pPr>
        <w:suppressAutoHyphens w:val="0"/>
        <w:spacing w:after="120" w:line="240" w:lineRule="auto"/>
        <w:ind w:firstLine="454"/>
        <w:jc w:val="both"/>
        <w:rPr>
          <w:rFonts w:ascii="Calibri" w:hAnsi="Calibri" w:cs="Calibri"/>
          <w:color w:val="C00000"/>
          <w:spacing w:val="-4"/>
          <w:sz w:val="20"/>
          <w:szCs w:val="20"/>
          <w:lang w:eastAsia="pt-BR"/>
        </w:rPr>
      </w:pPr>
      <w:r w:rsidRPr="001D4902">
        <w:rPr>
          <w:rFonts w:ascii="Calibri" w:eastAsia="Calibri" w:hAnsi="Calibri" w:cs="Calibri"/>
          <w:color w:val="000000" w:themeColor="text1"/>
          <w:sz w:val="20"/>
          <w:szCs w:val="20"/>
        </w:rPr>
        <w:t>The discussion on the subject does not end in itself, and research on clinical decision-making in the context of non-transfusion of blood and blood components is still little explored given the complexity of the process and the deep ethical dilemma. Despite this, ways to mitigate existing conflicts are evidenced in the literature and provide support for more resolute care, with preservation of patient autonomy and respect for morality and conscientious objection of the health team.</w:t>
      </w:r>
    </w:p>
    <w:p w14:paraId="6B776D04" w14:textId="77777777" w:rsidR="009D0409" w:rsidRPr="00B13928" w:rsidRDefault="009D0409" w:rsidP="00B13928">
      <w:pPr>
        <w:pStyle w:val="Etitsecao"/>
      </w:pPr>
      <w:r w:rsidRPr="00B13928">
        <w:t>Refer</w:t>
      </w:r>
      <w:r w:rsidR="008F30A4" w:rsidRPr="00B13928">
        <w:t>ê</w:t>
      </w:r>
      <w:r w:rsidRPr="00B13928">
        <w:t>nc</w:t>
      </w:r>
      <w:r w:rsidR="008F30A4" w:rsidRPr="00B13928">
        <w:t>ia</w:t>
      </w:r>
      <w:r w:rsidRPr="00B13928">
        <w:t>s</w:t>
      </w:r>
    </w:p>
    <w:p w14:paraId="09BB5839" w14:textId="7B243C7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rPr>
        <w:t>Biagini</w:t>
      </w:r>
      <w:proofErr w:type="spellEnd"/>
      <w:r w:rsidRPr="00217893">
        <w:rPr>
          <w:rFonts w:ascii="Calibri" w:eastAsia="Calibri" w:hAnsi="Calibri" w:cs="Calibri"/>
          <w:sz w:val="18"/>
          <w:szCs w:val="20"/>
        </w:rPr>
        <w:t xml:space="preserve"> S, </w:t>
      </w:r>
      <w:proofErr w:type="spellStart"/>
      <w:r w:rsidRPr="00217893">
        <w:rPr>
          <w:rFonts w:ascii="Calibri" w:eastAsia="Calibri" w:hAnsi="Calibri" w:cs="Calibri"/>
          <w:sz w:val="18"/>
          <w:szCs w:val="20"/>
        </w:rPr>
        <w:t>Albiero</w:t>
      </w:r>
      <w:proofErr w:type="spellEnd"/>
      <w:r w:rsidRPr="00217893">
        <w:rPr>
          <w:rFonts w:ascii="Calibri" w:eastAsia="Calibri" w:hAnsi="Calibri" w:cs="Calibri"/>
          <w:sz w:val="18"/>
          <w:szCs w:val="20"/>
        </w:rPr>
        <w:t xml:space="preserve"> A. Manual de transfusão. 2ª edição.</w:t>
      </w:r>
      <w:r w:rsidRPr="00217893">
        <w:rPr>
          <w:rFonts w:ascii="Calibri" w:hAnsi="Calibri" w:cs="Calibri"/>
          <w:sz w:val="18"/>
          <w:szCs w:val="20"/>
          <w:shd w:val="clear" w:color="auto" w:fill="FFFFFF"/>
        </w:rPr>
        <w:t xml:space="preserve"> São Paulo: </w:t>
      </w:r>
      <w:r w:rsidRPr="00217893">
        <w:rPr>
          <w:rFonts w:ascii="Calibri" w:eastAsia="Calibri" w:hAnsi="Calibri" w:cs="Calibri"/>
          <w:sz w:val="18"/>
          <w:szCs w:val="20"/>
        </w:rPr>
        <w:t>Fundação Pró-Sangue, Hemocentro de São Paulo; 2020</w:t>
      </w:r>
      <w:r w:rsidRPr="00217893">
        <w:rPr>
          <w:rFonts w:ascii="Calibri" w:hAnsi="Calibri" w:cs="Calibri"/>
          <w:sz w:val="18"/>
          <w:szCs w:val="20"/>
          <w:shd w:val="clear" w:color="auto" w:fill="FFFFFF"/>
        </w:rPr>
        <w:t xml:space="preserve"> [</w:t>
      </w:r>
      <w:proofErr w:type="spellStart"/>
      <w:r w:rsidRPr="00217893">
        <w:rPr>
          <w:rFonts w:ascii="Calibri" w:hAnsi="Calibri" w:cs="Calibri"/>
          <w:sz w:val="18"/>
          <w:szCs w:val="20"/>
          <w:shd w:val="clear" w:color="auto" w:fill="FFFFFF"/>
        </w:rPr>
        <w:t>cited</w:t>
      </w:r>
      <w:proofErr w:type="spellEnd"/>
      <w:r w:rsidRPr="00217893">
        <w:rPr>
          <w:rFonts w:ascii="Calibri" w:hAnsi="Calibri" w:cs="Calibri"/>
          <w:sz w:val="18"/>
          <w:szCs w:val="20"/>
          <w:shd w:val="clear" w:color="auto" w:fill="FFFFFF"/>
        </w:rPr>
        <w:t xml:space="preserve"> 2022 Jul 7].</w:t>
      </w:r>
      <w:r w:rsidRPr="00217893" w:rsidDel="004D4B43">
        <w:rPr>
          <w:rFonts w:ascii="Calibri" w:hAnsi="Calibri" w:cs="Calibri"/>
          <w:sz w:val="18"/>
          <w:szCs w:val="20"/>
        </w:rPr>
        <w:t xml:space="preserve"> </w:t>
      </w:r>
      <w:r w:rsidRPr="00217893">
        <w:rPr>
          <w:rFonts w:ascii="Calibri" w:hAnsi="Calibri" w:cs="Calibri"/>
          <w:sz w:val="18"/>
          <w:szCs w:val="20"/>
          <w:shd w:val="clear" w:color="auto" w:fill="FFFFFF"/>
          <w:lang w:val="en-US"/>
        </w:rPr>
        <w:t xml:space="preserve">Available from: </w:t>
      </w:r>
      <w:hyperlink r:id="rId20" w:history="1">
        <w:r w:rsidR="00077D78" w:rsidRPr="00217893">
          <w:rPr>
            <w:rStyle w:val="Hyperlink"/>
            <w:rFonts w:ascii="Calibri" w:hAnsi="Calibri" w:cs="Calibri"/>
            <w:color w:val="auto"/>
            <w:sz w:val="18"/>
            <w:szCs w:val="20"/>
            <w:u w:val="none"/>
            <w:shd w:val="clear" w:color="auto" w:fill="FFFFFF"/>
            <w:lang w:val="en-US"/>
          </w:rPr>
          <w:t>http://www.prosangue.sp.gov.br/uploads/arquivos/MANUAL%20DE%20TRANS%202020%20RGB.pdf</w:t>
        </w:r>
      </w:hyperlink>
      <w:r w:rsidR="00077D78" w:rsidRPr="00217893">
        <w:rPr>
          <w:rFonts w:ascii="Calibri" w:hAnsi="Calibri" w:cs="Calibri"/>
          <w:sz w:val="18"/>
          <w:szCs w:val="20"/>
          <w:shd w:val="clear" w:color="auto" w:fill="FFFFFF"/>
          <w:lang w:val="en-US"/>
        </w:rPr>
        <w:t xml:space="preserve"> </w:t>
      </w:r>
    </w:p>
    <w:p w14:paraId="733444B7" w14:textId="36D07EF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lang w:val="en-US"/>
        </w:rPr>
        <w:t>Lima GL, Jonas B. [</w:t>
      </w:r>
      <w:r w:rsidRPr="00217893">
        <w:rPr>
          <w:rFonts w:ascii="Calibri" w:hAnsi="Calibri" w:cs="Calibri"/>
          <w:sz w:val="18"/>
          <w:szCs w:val="20"/>
          <w:lang w:val="en-US"/>
        </w:rPr>
        <w:t xml:space="preserve">Trauma and early blood transfusion: the challenging hemorrhage management in Jehovah's Witnesses]. </w:t>
      </w:r>
      <w:proofErr w:type="spellStart"/>
      <w:r w:rsidRPr="00217893">
        <w:rPr>
          <w:rFonts w:ascii="Calibri" w:hAnsi="Calibri" w:cs="Calibri"/>
          <w:sz w:val="18"/>
          <w:szCs w:val="20"/>
        </w:rPr>
        <w:t>Rev</w:t>
      </w:r>
      <w:proofErr w:type="spellEnd"/>
      <w:r w:rsidRPr="00217893">
        <w:rPr>
          <w:rFonts w:ascii="Calibri" w:hAnsi="Calibri" w:cs="Calibri"/>
          <w:sz w:val="18"/>
          <w:szCs w:val="20"/>
        </w:rPr>
        <w:t xml:space="preserve"> </w:t>
      </w:r>
      <w:proofErr w:type="spellStart"/>
      <w:r w:rsidRPr="00217893">
        <w:rPr>
          <w:rFonts w:ascii="Calibri" w:hAnsi="Calibri" w:cs="Calibri"/>
          <w:sz w:val="18"/>
          <w:szCs w:val="20"/>
        </w:rPr>
        <w:t>Col</w:t>
      </w:r>
      <w:proofErr w:type="spellEnd"/>
      <w:r w:rsidRPr="00217893">
        <w:rPr>
          <w:rFonts w:ascii="Calibri" w:hAnsi="Calibri" w:cs="Calibri"/>
          <w:sz w:val="18"/>
          <w:szCs w:val="20"/>
        </w:rPr>
        <w:t xml:space="preserve"> </w:t>
      </w:r>
      <w:proofErr w:type="spellStart"/>
      <w:r w:rsidRPr="00217893">
        <w:rPr>
          <w:rFonts w:ascii="Calibri" w:hAnsi="Calibri" w:cs="Calibri"/>
          <w:sz w:val="18"/>
          <w:szCs w:val="20"/>
        </w:rPr>
        <w:t>Bras</w:t>
      </w:r>
      <w:proofErr w:type="spellEnd"/>
      <w:r w:rsidRPr="00217893">
        <w:rPr>
          <w:rFonts w:ascii="Calibri" w:hAnsi="Calibri" w:cs="Calibri"/>
          <w:sz w:val="18"/>
          <w:szCs w:val="20"/>
        </w:rPr>
        <w:t xml:space="preserve"> Cir. 2018 </w:t>
      </w:r>
      <w:r w:rsidRPr="00217893">
        <w:rPr>
          <w:rFonts w:ascii="Calibri" w:hAnsi="Calibri" w:cs="Calibri"/>
          <w:sz w:val="18"/>
          <w:szCs w:val="20"/>
          <w:shd w:val="clear" w:color="auto" w:fill="FFFFFF"/>
        </w:rPr>
        <w:t>[</w:t>
      </w:r>
      <w:proofErr w:type="spellStart"/>
      <w:r w:rsidRPr="00217893">
        <w:rPr>
          <w:rFonts w:ascii="Calibri" w:hAnsi="Calibri" w:cs="Calibri"/>
          <w:sz w:val="18"/>
          <w:szCs w:val="20"/>
          <w:shd w:val="clear" w:color="auto" w:fill="FFFFFF"/>
        </w:rPr>
        <w:t>cited</w:t>
      </w:r>
      <w:proofErr w:type="spellEnd"/>
      <w:r w:rsidRPr="00217893">
        <w:rPr>
          <w:rFonts w:ascii="Calibri" w:hAnsi="Calibri" w:cs="Calibri"/>
          <w:sz w:val="18"/>
          <w:szCs w:val="20"/>
          <w:shd w:val="clear" w:color="auto" w:fill="FFFFFF"/>
        </w:rPr>
        <w:t xml:space="preserve"> 2022 Jul 4];</w:t>
      </w:r>
      <w:r w:rsidRPr="00217893">
        <w:rPr>
          <w:rFonts w:ascii="Calibri" w:hAnsi="Calibri" w:cs="Calibri"/>
          <w:sz w:val="18"/>
          <w:szCs w:val="20"/>
        </w:rPr>
        <w:t xml:space="preserve"> 45(6):e1974. </w:t>
      </w:r>
      <w:proofErr w:type="spellStart"/>
      <w:r w:rsidRPr="00217893">
        <w:rPr>
          <w:rFonts w:ascii="Calibri" w:hAnsi="Calibri" w:cs="Calibri"/>
          <w:sz w:val="18"/>
          <w:szCs w:val="20"/>
        </w:rPr>
        <w:t>Portuuese</w:t>
      </w:r>
      <w:proofErr w:type="spellEnd"/>
      <w:r w:rsidRPr="00217893">
        <w:rPr>
          <w:rFonts w:ascii="Calibri" w:hAnsi="Calibri" w:cs="Calibri"/>
          <w:sz w:val="18"/>
          <w:szCs w:val="20"/>
        </w:rPr>
        <w:t xml:space="preserve">. DOI: </w:t>
      </w:r>
      <w:hyperlink r:id="rId21" w:history="1">
        <w:r w:rsidR="00077D78" w:rsidRPr="00217893">
          <w:rPr>
            <w:rStyle w:val="Hyperlink"/>
            <w:rFonts w:ascii="Calibri" w:hAnsi="Calibri" w:cs="Calibri"/>
            <w:color w:val="auto"/>
            <w:sz w:val="18"/>
            <w:szCs w:val="20"/>
            <w:u w:val="none"/>
            <w:shd w:val="clear" w:color="auto" w:fill="FFFFFF"/>
          </w:rPr>
          <w:t>https://doi.org/10.1590/0100-6991e-20181974</w:t>
        </w:r>
      </w:hyperlink>
      <w:r w:rsidR="00077D78" w:rsidRPr="00217893">
        <w:rPr>
          <w:rStyle w:val="nfase"/>
          <w:rFonts w:ascii="Calibri" w:hAnsi="Calibri" w:cs="Calibri"/>
          <w:bCs w:val="0"/>
          <w:sz w:val="18"/>
          <w:szCs w:val="20"/>
          <w:shd w:val="clear" w:color="auto" w:fill="FFFFFF"/>
        </w:rPr>
        <w:t xml:space="preserve"> </w:t>
      </w:r>
    </w:p>
    <w:p w14:paraId="373D21A8" w14:textId="78233714"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JW.org. Testemunhas de Jeová. Relatório do ano de serviço de 2019: maior número de batizados em 20 anos. </w:t>
      </w:r>
      <w:r w:rsidRPr="00217893">
        <w:rPr>
          <w:rFonts w:ascii="Calibri" w:eastAsia="Calibri" w:hAnsi="Calibri" w:cs="Calibri"/>
          <w:sz w:val="18"/>
          <w:szCs w:val="20"/>
          <w:lang w:val="en-US"/>
        </w:rPr>
        <w:t xml:space="preserve">2019 </w:t>
      </w:r>
      <w:r w:rsidRPr="00217893">
        <w:rPr>
          <w:rFonts w:ascii="Calibri" w:hAnsi="Calibri" w:cs="Calibri"/>
          <w:sz w:val="18"/>
          <w:szCs w:val="20"/>
          <w:shd w:val="clear" w:color="auto" w:fill="FFFFFF"/>
          <w:lang w:val="en-US"/>
        </w:rPr>
        <w:t>[cited 2022 Jul 4].</w:t>
      </w:r>
      <w:r w:rsidRPr="00217893">
        <w:rPr>
          <w:rFonts w:ascii="Calibri" w:hAnsi="Calibri" w:cs="Calibri"/>
          <w:sz w:val="18"/>
          <w:szCs w:val="20"/>
          <w:lang w:val="en-US"/>
        </w:rPr>
        <w:t xml:space="preserve"> </w:t>
      </w:r>
      <w:r w:rsidRPr="00217893">
        <w:rPr>
          <w:rFonts w:ascii="Calibri" w:hAnsi="Calibri" w:cs="Calibri"/>
          <w:sz w:val="18"/>
          <w:szCs w:val="20"/>
          <w:shd w:val="clear" w:color="auto" w:fill="FFFFFF"/>
          <w:lang w:val="en-US"/>
        </w:rPr>
        <w:t xml:space="preserve">Available from: </w:t>
      </w:r>
      <w:hyperlink r:id="rId22" w:history="1">
        <w:r w:rsidR="00077D78" w:rsidRPr="00217893">
          <w:rPr>
            <w:rStyle w:val="Hyperlink"/>
            <w:rFonts w:ascii="Calibri" w:eastAsia="Calibri" w:hAnsi="Calibri" w:cs="Calibri"/>
            <w:color w:val="auto"/>
            <w:sz w:val="18"/>
            <w:szCs w:val="20"/>
            <w:u w:val="none"/>
            <w:lang w:val="en-US"/>
          </w:rPr>
          <w:t>https://www.jw.org/pt/noticias/jw-noticias/por-regiao/mundial/Relat%C3%B3rio-do-ano-de-servi%C3%A7o-de-2019-maior-n%C3%BAmero-de-batizados-em-20-anos/</w:t>
        </w:r>
      </w:hyperlink>
      <w:r w:rsidR="00077D78" w:rsidRPr="00217893">
        <w:rPr>
          <w:rFonts w:ascii="Calibri" w:eastAsia="Calibri" w:hAnsi="Calibri" w:cs="Calibri"/>
          <w:sz w:val="18"/>
          <w:szCs w:val="20"/>
          <w:lang w:val="en-US"/>
        </w:rPr>
        <w:t xml:space="preserve"> </w:t>
      </w:r>
    </w:p>
    <w:p w14:paraId="3F410991" w14:textId="78A9F101"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Biblioteca On-Line da Torre de Vigia. Aceite a orientação do Deus vivente. </w:t>
      </w:r>
      <w:r w:rsidRPr="00217893">
        <w:rPr>
          <w:rFonts w:ascii="Calibri" w:eastAsia="Calibri" w:hAnsi="Calibri" w:cs="Calibri"/>
          <w:sz w:val="18"/>
          <w:szCs w:val="20"/>
          <w:lang w:val="en-US"/>
        </w:rPr>
        <w:t>2004</w:t>
      </w:r>
      <w:r w:rsidRPr="00217893">
        <w:rPr>
          <w:rFonts w:ascii="Calibri" w:hAnsi="Calibri" w:cs="Calibri"/>
          <w:sz w:val="18"/>
          <w:szCs w:val="20"/>
          <w:shd w:val="clear" w:color="auto" w:fill="FFFFFF"/>
          <w:lang w:val="en-US"/>
        </w:rPr>
        <w:t xml:space="preserve"> [cited 2022 Jul 4].</w:t>
      </w:r>
      <w:r w:rsidRPr="00217893">
        <w:rPr>
          <w:rFonts w:ascii="Calibri" w:hAnsi="Calibri" w:cs="Calibri"/>
          <w:sz w:val="18"/>
          <w:szCs w:val="20"/>
          <w:lang w:val="en-US"/>
        </w:rPr>
        <w:t xml:space="preserve"> </w:t>
      </w:r>
      <w:r w:rsidRPr="00217893">
        <w:rPr>
          <w:rFonts w:ascii="Calibri" w:hAnsi="Calibri" w:cs="Calibri"/>
          <w:sz w:val="18"/>
          <w:szCs w:val="20"/>
          <w:shd w:val="clear" w:color="auto" w:fill="FFFFFF"/>
          <w:lang w:val="en-US"/>
        </w:rPr>
        <w:t xml:space="preserve">Available from: </w:t>
      </w:r>
      <w:hyperlink r:id="rId23" w:history="1">
        <w:r w:rsidR="002E053A" w:rsidRPr="00217893">
          <w:rPr>
            <w:rStyle w:val="Hyperlink"/>
            <w:rFonts w:ascii="Calibri" w:hAnsi="Calibri" w:cs="Calibri"/>
            <w:color w:val="auto"/>
            <w:sz w:val="18"/>
            <w:szCs w:val="20"/>
            <w:u w:val="none"/>
            <w:shd w:val="clear" w:color="auto" w:fill="FFFFFF"/>
            <w:lang w:val="en-US"/>
          </w:rPr>
          <w:t>https://wol.jw.org/pt/wol/d/r5/lp-t/2004445</w:t>
        </w:r>
      </w:hyperlink>
      <w:r w:rsidR="002E053A" w:rsidRPr="00217893">
        <w:rPr>
          <w:rFonts w:ascii="Calibri" w:hAnsi="Calibri" w:cs="Calibri"/>
          <w:sz w:val="18"/>
          <w:szCs w:val="20"/>
          <w:shd w:val="clear" w:color="auto" w:fill="FFFFFF"/>
          <w:lang w:val="en-US"/>
        </w:rPr>
        <w:t xml:space="preserve"> </w:t>
      </w:r>
    </w:p>
    <w:p w14:paraId="3D18C9DB" w14:textId="4A6360A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rPr>
        <w:t xml:space="preserve">Gonçalves TC. Paradoxal relação da vida versus morte e a transfusão de sangue nas Testemunhas de Jeová. </w:t>
      </w:r>
      <w:r w:rsidRPr="00217893">
        <w:rPr>
          <w:rFonts w:ascii="Calibri" w:eastAsia="Calibri" w:hAnsi="Calibri" w:cs="Calibri"/>
          <w:sz w:val="18"/>
          <w:szCs w:val="20"/>
          <w:lang w:val="en-US"/>
        </w:rPr>
        <w:t xml:space="preserve">Cad. Ibero Am. </w:t>
      </w:r>
      <w:proofErr w:type="spellStart"/>
      <w:r w:rsidRPr="00217893">
        <w:rPr>
          <w:rFonts w:ascii="Calibri" w:eastAsia="Calibri" w:hAnsi="Calibri" w:cs="Calibri"/>
          <w:sz w:val="18"/>
          <w:szCs w:val="20"/>
          <w:lang w:val="en-US"/>
        </w:rPr>
        <w:t>Direito</w:t>
      </w:r>
      <w:proofErr w:type="spellEnd"/>
      <w:r w:rsidRPr="00217893">
        <w:rPr>
          <w:rFonts w:ascii="Calibri" w:eastAsia="Calibri" w:hAnsi="Calibri" w:cs="Calibri"/>
          <w:sz w:val="18"/>
          <w:szCs w:val="20"/>
          <w:lang w:val="en-US"/>
        </w:rPr>
        <w:t xml:space="preserve"> Sanit. </w:t>
      </w:r>
      <w:r w:rsidRPr="00217893">
        <w:rPr>
          <w:rFonts w:ascii="Calibri" w:eastAsia="Calibri" w:hAnsi="Calibri" w:cs="Calibri"/>
          <w:sz w:val="18"/>
          <w:szCs w:val="20"/>
        </w:rPr>
        <w:t>2017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rPr>
        <w:t xml:space="preserve">]; 6(3):177-9. DOI: </w:t>
      </w:r>
      <w:hyperlink r:id="rId24" w:history="1">
        <w:r w:rsidR="002E053A" w:rsidRPr="00217893">
          <w:rPr>
            <w:rStyle w:val="Hyperlink"/>
            <w:rFonts w:ascii="Calibri" w:eastAsia="Calibri" w:hAnsi="Calibri" w:cs="Calibri"/>
            <w:color w:val="auto"/>
            <w:sz w:val="18"/>
            <w:szCs w:val="20"/>
            <w:u w:val="none"/>
          </w:rPr>
          <w:t>https://doi.org/10.17566/ciads.v6i3.384</w:t>
        </w:r>
      </w:hyperlink>
      <w:r w:rsidR="002E053A" w:rsidRPr="00217893">
        <w:rPr>
          <w:rFonts w:ascii="Calibri" w:eastAsia="Calibri" w:hAnsi="Calibri" w:cs="Calibri"/>
          <w:sz w:val="18"/>
          <w:szCs w:val="20"/>
        </w:rPr>
        <w:t xml:space="preserve"> </w:t>
      </w:r>
    </w:p>
    <w:p w14:paraId="7B04A9A7" w14:textId="617FBE5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hAnsi="Calibri" w:cs="Calibri"/>
          <w:sz w:val="18"/>
          <w:szCs w:val="20"/>
        </w:rPr>
        <w:t>Presidência da República (Br).</w:t>
      </w:r>
      <w:r w:rsidRPr="00217893">
        <w:rPr>
          <w:rFonts w:ascii="Calibri" w:eastAsia="Calibri" w:hAnsi="Calibri" w:cs="Calibri"/>
          <w:sz w:val="18"/>
          <w:szCs w:val="20"/>
        </w:rPr>
        <w:t xml:space="preserve"> Casa civil. Subchefia para assuntos Jurídicos. Constituição Federal de 1988. </w:t>
      </w:r>
      <w:r w:rsidRPr="00217893">
        <w:rPr>
          <w:rFonts w:ascii="Calibri" w:eastAsia="Calibri" w:hAnsi="Calibri" w:cs="Calibri"/>
          <w:sz w:val="18"/>
          <w:szCs w:val="20"/>
          <w:lang w:val="en-US"/>
        </w:rPr>
        <w:t>Brasília, DF; 1988</w:t>
      </w:r>
      <w:r w:rsidRPr="00217893">
        <w:rPr>
          <w:rFonts w:ascii="Calibri" w:hAnsi="Calibri" w:cs="Calibri"/>
          <w:sz w:val="18"/>
          <w:szCs w:val="20"/>
          <w:shd w:val="clear" w:color="auto" w:fill="FFFFFF"/>
          <w:lang w:val="en-US"/>
        </w:rPr>
        <w:t xml:space="preserve"> [cited 2022 Jul 4]. Available from: </w:t>
      </w:r>
      <w:hyperlink r:id="rId25">
        <w:r w:rsidRPr="00217893">
          <w:rPr>
            <w:rFonts w:ascii="Calibri" w:eastAsia="Calibri" w:hAnsi="Calibri" w:cs="Calibri"/>
            <w:sz w:val="18"/>
            <w:szCs w:val="20"/>
            <w:lang w:val="en-US"/>
          </w:rPr>
          <w:t>http://www.planalto.gov.br/ccivil_03/constituicao/constituicaocompilado.htm</w:t>
        </w:r>
      </w:hyperlink>
      <w:r w:rsidR="002E053A" w:rsidRPr="00217893">
        <w:rPr>
          <w:rFonts w:ascii="Calibri" w:eastAsia="Calibri" w:hAnsi="Calibri" w:cs="Calibri"/>
          <w:sz w:val="18"/>
          <w:szCs w:val="20"/>
          <w:lang w:val="en-US"/>
        </w:rPr>
        <w:t xml:space="preserve"> </w:t>
      </w:r>
    </w:p>
    <w:p w14:paraId="14491CB5" w14:textId="77777777" w:rsidR="00BE4B33" w:rsidRPr="008B3FCD" w:rsidRDefault="00BE4B33">
      <w:pPr>
        <w:suppressAutoHyphens w:val="0"/>
        <w:spacing w:after="160" w:line="259" w:lineRule="auto"/>
        <w:rPr>
          <w:rFonts w:ascii="Calibri" w:eastAsia="Calibri" w:hAnsi="Calibri" w:cs="Calibri"/>
          <w:sz w:val="18"/>
          <w:szCs w:val="20"/>
          <w:lang w:eastAsia="en-US"/>
        </w:rPr>
      </w:pPr>
      <w:r>
        <w:rPr>
          <w:rFonts w:ascii="Calibri" w:eastAsia="Calibri" w:hAnsi="Calibri" w:cs="Calibri"/>
          <w:sz w:val="18"/>
          <w:szCs w:val="20"/>
        </w:rPr>
        <w:br w:type="page"/>
      </w:r>
    </w:p>
    <w:p w14:paraId="7CED565D" w14:textId="33D52DC1"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lastRenderedPageBreak/>
        <w:t>Conselho Federal de Medicina (CFM). Resolução n. 1.931/2009 de 17 de setembro de 2009. Aprova o Código de Ética Médica. Brasília, DF: 2009</w:t>
      </w:r>
      <w:r w:rsidRPr="00217893">
        <w:rPr>
          <w:rFonts w:ascii="Calibri" w:hAnsi="Calibri" w:cs="Calibri"/>
          <w:sz w:val="18"/>
          <w:szCs w:val="20"/>
          <w:shd w:val="clear" w:color="auto" w:fill="FFFFFF"/>
        </w:rPr>
        <w:t xml:space="preserve"> [</w:t>
      </w:r>
      <w:proofErr w:type="spellStart"/>
      <w:r w:rsidRPr="00217893">
        <w:rPr>
          <w:rFonts w:ascii="Calibri" w:hAnsi="Calibri" w:cs="Calibri"/>
          <w:sz w:val="18"/>
          <w:szCs w:val="20"/>
          <w:shd w:val="clear" w:color="auto" w:fill="FFFFFF"/>
        </w:rPr>
        <w:t>cited</w:t>
      </w:r>
      <w:proofErr w:type="spellEnd"/>
      <w:r w:rsidRPr="00217893">
        <w:rPr>
          <w:rFonts w:ascii="Calibri" w:hAnsi="Calibri" w:cs="Calibri"/>
          <w:sz w:val="18"/>
          <w:szCs w:val="20"/>
          <w:shd w:val="clear" w:color="auto" w:fill="FFFFFF"/>
        </w:rPr>
        <w:t xml:space="preserve"> 2022 Jul 4]. </w:t>
      </w:r>
      <w:r w:rsidRPr="00217893">
        <w:rPr>
          <w:rFonts w:ascii="Calibri" w:hAnsi="Calibri" w:cs="Calibri"/>
          <w:sz w:val="18"/>
          <w:szCs w:val="20"/>
          <w:shd w:val="clear" w:color="auto" w:fill="FFFFFF"/>
          <w:lang w:val="en-US"/>
        </w:rPr>
        <w:t>Available from:</w:t>
      </w:r>
      <w:r w:rsidRPr="00217893">
        <w:rPr>
          <w:rFonts w:ascii="Calibri" w:eastAsia="Calibri" w:hAnsi="Calibri" w:cs="Calibri"/>
          <w:sz w:val="18"/>
          <w:szCs w:val="20"/>
          <w:lang w:val="en-US"/>
        </w:rPr>
        <w:t xml:space="preserve"> </w:t>
      </w:r>
      <w:hyperlink r:id="rId26" w:history="1">
        <w:r w:rsidRPr="00217893">
          <w:rPr>
            <w:rStyle w:val="Hyperlink"/>
            <w:rFonts w:ascii="Calibri" w:eastAsia="Calibri" w:hAnsi="Calibri" w:cs="Calibri"/>
            <w:color w:val="auto"/>
            <w:sz w:val="18"/>
            <w:szCs w:val="20"/>
            <w:u w:val="none"/>
            <w:lang w:val="en-US"/>
          </w:rPr>
          <w:t>http://www.portalmedico.org.br/resolucoes/cfm/2009/1931_2009.htm</w:t>
        </w:r>
      </w:hyperlink>
    </w:p>
    <w:p w14:paraId="381720CD" w14:textId="3BFEA4B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rPr>
        <w:t>Conselho Regional de Medicina (CRM). Resolução CREMERJ nº 136/1999. Dispõe sobre a postura do médico diante da recusa de paciente em receber transfusão de sangue e/ou seus derivados e revoga as disposições em contrário, especialmente o Parecer CREMERJ n. 25/94. Rio de Janeiro: 1999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rPr>
        <w:t xml:space="preserve">]. </w:t>
      </w:r>
      <w:proofErr w:type="spellStart"/>
      <w:r w:rsidRPr="00217893">
        <w:rPr>
          <w:rFonts w:ascii="Calibri" w:eastAsia="Calibri" w:hAnsi="Calibri" w:cs="Calibri"/>
          <w:sz w:val="18"/>
          <w:szCs w:val="20"/>
        </w:rPr>
        <w:t>Available</w:t>
      </w:r>
      <w:proofErr w:type="spellEnd"/>
      <w:r w:rsidRPr="00217893">
        <w:rPr>
          <w:rFonts w:ascii="Calibri" w:eastAsia="Calibri" w:hAnsi="Calibri" w:cs="Calibri"/>
          <w:sz w:val="18"/>
          <w:szCs w:val="20"/>
        </w:rPr>
        <w:t xml:space="preserve"> </w:t>
      </w:r>
      <w:proofErr w:type="spellStart"/>
      <w:r w:rsidRPr="00217893">
        <w:rPr>
          <w:rFonts w:ascii="Calibri" w:eastAsia="Calibri" w:hAnsi="Calibri" w:cs="Calibri"/>
          <w:sz w:val="18"/>
          <w:szCs w:val="20"/>
        </w:rPr>
        <w:t>from</w:t>
      </w:r>
      <w:proofErr w:type="spellEnd"/>
      <w:r w:rsidRPr="00217893">
        <w:rPr>
          <w:rFonts w:ascii="Calibri" w:eastAsia="Calibri" w:hAnsi="Calibri" w:cs="Calibri"/>
          <w:sz w:val="18"/>
          <w:szCs w:val="20"/>
        </w:rPr>
        <w:t xml:space="preserve">: </w:t>
      </w:r>
      <w:bookmarkStart w:id="4" w:name="_Hlk106802576"/>
      <w:r w:rsidR="002E053A" w:rsidRPr="00217893">
        <w:rPr>
          <w:rFonts w:ascii="Calibri" w:eastAsia="Calibri" w:hAnsi="Calibri" w:cs="Calibri"/>
          <w:sz w:val="18"/>
          <w:szCs w:val="20"/>
        </w:rPr>
        <w:fldChar w:fldCharType="begin"/>
      </w:r>
      <w:r w:rsidR="002E053A" w:rsidRPr="00217893">
        <w:rPr>
          <w:rFonts w:ascii="Calibri" w:eastAsia="Calibri" w:hAnsi="Calibri" w:cs="Calibri"/>
          <w:sz w:val="18"/>
          <w:szCs w:val="20"/>
        </w:rPr>
        <w:instrText xml:space="preserve"> HYPERLINK "https://sistemas.cfm.org.br/normas/arquivos/resolucoes/RJ/1999/136_1999.pdf" </w:instrText>
      </w:r>
      <w:r w:rsidR="002E053A" w:rsidRPr="00217893">
        <w:rPr>
          <w:rFonts w:ascii="Calibri" w:eastAsia="Calibri" w:hAnsi="Calibri" w:cs="Calibri"/>
          <w:sz w:val="18"/>
          <w:szCs w:val="20"/>
        </w:rPr>
        <w:fldChar w:fldCharType="separate"/>
      </w:r>
      <w:r w:rsidR="002E053A" w:rsidRPr="00217893">
        <w:rPr>
          <w:rStyle w:val="Hyperlink"/>
          <w:rFonts w:ascii="Calibri" w:eastAsia="Calibri" w:hAnsi="Calibri" w:cs="Calibri"/>
          <w:color w:val="auto"/>
          <w:sz w:val="18"/>
          <w:szCs w:val="20"/>
          <w:u w:val="none"/>
        </w:rPr>
        <w:t>https://sistemas.cfm.org.br/normas/arquivos/resolucoes/RJ/1999/136_1999.pdf</w:t>
      </w:r>
      <w:r w:rsidR="002E053A" w:rsidRPr="00217893">
        <w:rPr>
          <w:rFonts w:ascii="Calibri" w:eastAsia="Calibri" w:hAnsi="Calibri" w:cs="Calibri"/>
          <w:sz w:val="18"/>
          <w:szCs w:val="20"/>
        </w:rPr>
        <w:fldChar w:fldCharType="end"/>
      </w:r>
      <w:r w:rsidR="002E053A" w:rsidRPr="00217893">
        <w:rPr>
          <w:rFonts w:ascii="Calibri" w:eastAsia="Calibri" w:hAnsi="Calibri" w:cs="Calibri"/>
          <w:sz w:val="18"/>
          <w:szCs w:val="20"/>
        </w:rPr>
        <w:t xml:space="preserve"> </w:t>
      </w:r>
    </w:p>
    <w:p w14:paraId="6A522B6B" w14:textId="2A23A0E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Conselho Federal de Enfermagem (CFM). Resolução COFEN 564/2017. Brasília, DF: CFM; 2017 [</w:t>
      </w:r>
      <w:proofErr w:type="spellStart"/>
      <w:r w:rsidRPr="00217893">
        <w:rPr>
          <w:rFonts w:ascii="Calibri" w:hAnsi="Calibri" w:cs="Calibri"/>
          <w:sz w:val="18"/>
          <w:szCs w:val="20"/>
          <w:shd w:val="clear" w:color="auto" w:fill="FFFFFF"/>
        </w:rPr>
        <w:t>cited</w:t>
      </w:r>
      <w:proofErr w:type="spellEnd"/>
      <w:r w:rsidRPr="00217893">
        <w:rPr>
          <w:rFonts w:ascii="Calibri" w:hAnsi="Calibri" w:cs="Calibri"/>
          <w:sz w:val="18"/>
          <w:szCs w:val="20"/>
          <w:shd w:val="clear" w:color="auto" w:fill="FFFFFF"/>
        </w:rPr>
        <w:t xml:space="preserve"> 2022 Jul 4</w:t>
      </w:r>
      <w:r w:rsidRPr="00217893">
        <w:rPr>
          <w:rFonts w:ascii="Calibri" w:eastAsia="Calibri" w:hAnsi="Calibri" w:cs="Calibri"/>
          <w:sz w:val="18"/>
          <w:szCs w:val="20"/>
        </w:rPr>
        <w:t xml:space="preserve">]. </w:t>
      </w:r>
      <w:r w:rsidRPr="00217893">
        <w:rPr>
          <w:rFonts w:ascii="Calibri" w:eastAsia="Calibri" w:hAnsi="Calibri" w:cs="Calibri"/>
          <w:sz w:val="18"/>
          <w:szCs w:val="20"/>
          <w:lang w:val="en-US"/>
        </w:rPr>
        <w:t xml:space="preserve">Available from: </w:t>
      </w:r>
      <w:hyperlink r:id="rId27" w:history="1">
        <w:r w:rsidR="002E053A" w:rsidRPr="00217893">
          <w:rPr>
            <w:rStyle w:val="Hyperlink"/>
            <w:rFonts w:ascii="Calibri" w:eastAsia="Calibri" w:hAnsi="Calibri" w:cs="Calibri"/>
            <w:color w:val="auto"/>
            <w:sz w:val="18"/>
            <w:szCs w:val="20"/>
            <w:u w:val="none"/>
            <w:lang w:val="en-US"/>
          </w:rPr>
          <w:t>http://www.cofen.gov.br/resolucao-cofen-no-5642017_59145.html</w:t>
        </w:r>
      </w:hyperlink>
      <w:r w:rsidR="002E053A" w:rsidRPr="00217893">
        <w:rPr>
          <w:rFonts w:ascii="Calibri" w:eastAsia="Calibri" w:hAnsi="Calibri" w:cs="Calibri"/>
          <w:sz w:val="18"/>
          <w:szCs w:val="20"/>
          <w:lang w:val="en-US"/>
        </w:rPr>
        <w:t xml:space="preserve"> </w:t>
      </w:r>
    </w:p>
    <w:p w14:paraId="6D5884A1" w14:textId="78D9DC9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proofErr w:type="spellStart"/>
      <w:r w:rsidRPr="00217893">
        <w:rPr>
          <w:rFonts w:ascii="Calibri" w:eastAsia="Calibri" w:hAnsi="Calibri" w:cs="Calibri"/>
          <w:sz w:val="18"/>
          <w:szCs w:val="20"/>
        </w:rPr>
        <w:t>Cestari</w:t>
      </w:r>
      <w:proofErr w:type="spellEnd"/>
      <w:r w:rsidRPr="00217893">
        <w:rPr>
          <w:rFonts w:ascii="Calibri" w:eastAsia="Calibri" w:hAnsi="Calibri" w:cs="Calibri"/>
          <w:sz w:val="18"/>
          <w:szCs w:val="20"/>
        </w:rPr>
        <w:t xml:space="preserve"> VR, Moreira TM, Pessoa VL, Florêncio RS, Silva MR, Torres RA. </w:t>
      </w:r>
      <w:r w:rsidRPr="00217893">
        <w:rPr>
          <w:rFonts w:ascii="Calibri" w:eastAsia="Calibri" w:hAnsi="Calibri" w:cs="Calibri"/>
          <w:sz w:val="18"/>
          <w:szCs w:val="20"/>
          <w:lang w:val="en-US"/>
        </w:rPr>
        <w:t xml:space="preserve">The essence of care in health vulnerability: a Heideggerian construction. </w:t>
      </w:r>
      <w:proofErr w:type="spellStart"/>
      <w:r w:rsidRPr="00217893">
        <w:rPr>
          <w:rFonts w:ascii="Calibri" w:eastAsia="Calibri" w:hAnsi="Calibri" w:cs="Calibri"/>
          <w:sz w:val="18"/>
          <w:szCs w:val="20"/>
        </w:rPr>
        <w:t>Rev</w:t>
      </w:r>
      <w:proofErr w:type="spellEnd"/>
      <w:r w:rsidRPr="00217893">
        <w:rPr>
          <w:rFonts w:ascii="Calibri" w:eastAsia="Calibri" w:hAnsi="Calibri" w:cs="Calibri"/>
          <w:sz w:val="18"/>
          <w:szCs w:val="20"/>
        </w:rPr>
        <w:t xml:space="preserve"> </w:t>
      </w:r>
      <w:proofErr w:type="spellStart"/>
      <w:r w:rsidRPr="00217893">
        <w:rPr>
          <w:rFonts w:ascii="Calibri" w:eastAsia="Calibri" w:hAnsi="Calibri" w:cs="Calibri"/>
          <w:sz w:val="18"/>
          <w:szCs w:val="20"/>
        </w:rPr>
        <w:t>Bras</w:t>
      </w:r>
      <w:proofErr w:type="spellEnd"/>
      <w:r w:rsidRPr="00217893">
        <w:rPr>
          <w:rFonts w:ascii="Calibri" w:eastAsia="Calibri" w:hAnsi="Calibri" w:cs="Calibri"/>
          <w:sz w:val="18"/>
          <w:szCs w:val="20"/>
        </w:rPr>
        <w:t xml:space="preserve"> </w:t>
      </w:r>
      <w:proofErr w:type="spellStart"/>
      <w:r w:rsidRPr="00217893">
        <w:rPr>
          <w:rFonts w:ascii="Calibri" w:eastAsia="Calibri" w:hAnsi="Calibri" w:cs="Calibri"/>
          <w:sz w:val="18"/>
          <w:szCs w:val="20"/>
        </w:rPr>
        <w:t>Enferm</w:t>
      </w:r>
      <w:proofErr w:type="spellEnd"/>
      <w:r w:rsidRPr="00217893">
        <w:rPr>
          <w:rFonts w:ascii="Calibri" w:eastAsia="Calibri" w:hAnsi="Calibri" w:cs="Calibri"/>
          <w:sz w:val="18"/>
          <w:szCs w:val="20"/>
        </w:rPr>
        <w:t>. 2017 [</w:t>
      </w:r>
      <w:proofErr w:type="spellStart"/>
      <w:r w:rsidRPr="00217893">
        <w:rPr>
          <w:rFonts w:ascii="Calibri" w:hAnsi="Calibri" w:cs="Calibri"/>
          <w:sz w:val="18"/>
          <w:szCs w:val="20"/>
          <w:shd w:val="clear" w:color="auto" w:fill="FFFFFF"/>
        </w:rPr>
        <w:t>cited</w:t>
      </w:r>
      <w:proofErr w:type="spellEnd"/>
      <w:r w:rsidRPr="00217893">
        <w:rPr>
          <w:rFonts w:ascii="Calibri" w:hAnsi="Calibri" w:cs="Calibri"/>
          <w:sz w:val="18"/>
          <w:szCs w:val="20"/>
          <w:shd w:val="clear" w:color="auto" w:fill="FFFFFF"/>
        </w:rPr>
        <w:t xml:space="preserve"> 2022 Jul 4</w:t>
      </w:r>
      <w:r w:rsidRPr="00217893">
        <w:rPr>
          <w:rFonts w:ascii="Calibri" w:eastAsia="Calibri" w:hAnsi="Calibri" w:cs="Calibri"/>
          <w:sz w:val="18"/>
          <w:szCs w:val="20"/>
        </w:rPr>
        <w:t xml:space="preserve">]; 70(5):1112-6. DOI: </w:t>
      </w:r>
      <w:hyperlink r:id="rId28" w:history="1">
        <w:r w:rsidR="002E053A" w:rsidRPr="00217893">
          <w:rPr>
            <w:rStyle w:val="Hyperlink"/>
            <w:rFonts w:ascii="Calibri" w:eastAsia="Calibri" w:hAnsi="Calibri" w:cs="Calibri"/>
            <w:color w:val="auto"/>
            <w:sz w:val="18"/>
            <w:szCs w:val="20"/>
            <w:u w:val="none"/>
          </w:rPr>
          <w:t>http://dx.doi.org/10.1590/0034-7167-2016-0570</w:t>
        </w:r>
      </w:hyperlink>
      <w:r w:rsidR="002E053A" w:rsidRPr="00217893">
        <w:rPr>
          <w:rFonts w:ascii="Calibri" w:eastAsia="Calibri" w:hAnsi="Calibri" w:cs="Calibri"/>
          <w:sz w:val="18"/>
          <w:szCs w:val="20"/>
        </w:rPr>
        <w:t xml:space="preserve"> </w:t>
      </w:r>
    </w:p>
    <w:p w14:paraId="77E50FBE" w14:textId="20A6A969"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Ohana DD, Abreu MB, Medeiros GG. </w:t>
      </w:r>
      <w:r w:rsidRPr="00217893">
        <w:rPr>
          <w:rFonts w:ascii="Calibri" w:hAnsi="Calibri" w:cs="Calibri"/>
          <w:sz w:val="18"/>
          <w:szCs w:val="20"/>
          <w:shd w:val="clear" w:color="auto" w:fill="FFFFFF"/>
          <w:lang w:val="en-US"/>
        </w:rPr>
        <w:t xml:space="preserve">Nursing in the face of blood transfusion in Jehovah's </w:t>
      </w:r>
      <w:proofErr w:type="gramStart"/>
      <w:r w:rsidRPr="00217893">
        <w:rPr>
          <w:rFonts w:ascii="Calibri" w:hAnsi="Calibri" w:cs="Calibri"/>
          <w:sz w:val="18"/>
          <w:szCs w:val="20"/>
          <w:shd w:val="clear" w:color="auto" w:fill="FFFFFF"/>
          <w:lang w:val="en-US"/>
        </w:rPr>
        <w:t>witnesses</w:t>
      </w:r>
      <w:proofErr w:type="gramEnd"/>
      <w:r w:rsidRPr="00217893">
        <w:rPr>
          <w:rFonts w:ascii="Calibri" w:hAnsi="Calibri" w:cs="Calibri"/>
          <w:sz w:val="18"/>
          <w:szCs w:val="20"/>
          <w:shd w:val="clear" w:color="auto" w:fill="FFFFFF"/>
          <w:lang w:val="en-US"/>
        </w:rPr>
        <w:t xml:space="preserve"> patients: ethics and alternative procedures</w:t>
      </w:r>
      <w:r w:rsidRPr="00217893">
        <w:rPr>
          <w:rFonts w:ascii="Calibri" w:eastAsia="Calibri" w:hAnsi="Calibri" w:cs="Calibri"/>
          <w:sz w:val="18"/>
          <w:szCs w:val="20"/>
          <w:lang w:val="en-US"/>
        </w:rPr>
        <w:t>.</w:t>
      </w:r>
      <w:r w:rsidRPr="00217893">
        <w:rPr>
          <w:rFonts w:ascii="Calibri" w:hAnsi="Calibri" w:cs="Calibri"/>
          <w:sz w:val="18"/>
          <w:szCs w:val="20"/>
          <w:shd w:val="clear" w:color="auto" w:fill="FFFFFF"/>
          <w:lang w:val="en-US"/>
        </w:rPr>
        <w:t xml:space="preserve"> Rev </w:t>
      </w:r>
      <w:proofErr w:type="spellStart"/>
      <w:r w:rsidRPr="00217893">
        <w:rPr>
          <w:rFonts w:ascii="Calibri" w:hAnsi="Calibri" w:cs="Calibri"/>
          <w:sz w:val="18"/>
          <w:szCs w:val="20"/>
          <w:shd w:val="clear" w:color="auto" w:fill="FFFFFF"/>
          <w:lang w:val="en-US"/>
        </w:rPr>
        <w:t>Inic</w:t>
      </w:r>
      <w:proofErr w:type="spellEnd"/>
      <w:r w:rsidRPr="00217893">
        <w:rPr>
          <w:rFonts w:ascii="Calibri" w:hAnsi="Calibri" w:cs="Calibri"/>
          <w:sz w:val="18"/>
          <w:szCs w:val="20"/>
          <w:shd w:val="clear" w:color="auto" w:fill="FFFFFF"/>
          <w:lang w:val="en-US"/>
        </w:rPr>
        <w:t xml:space="preserve"> Cient Ext. 2021 [cited 2022 Jul 4]; 4(1):562-77. Available from: </w:t>
      </w:r>
      <w:hyperlink r:id="rId29" w:history="1">
        <w:r w:rsidR="002E053A" w:rsidRPr="00217893">
          <w:rPr>
            <w:rStyle w:val="Hyperlink"/>
            <w:rFonts w:ascii="Calibri" w:hAnsi="Calibri" w:cs="Calibri"/>
            <w:color w:val="auto"/>
            <w:sz w:val="18"/>
            <w:szCs w:val="20"/>
            <w:u w:val="none"/>
            <w:shd w:val="clear" w:color="auto" w:fill="FFFFFF"/>
            <w:lang w:val="en-US"/>
          </w:rPr>
          <w:t>https://revistasfacesa.senaaires.com.br/index.php/iniciacao-cientifica/article/view/317/254</w:t>
        </w:r>
      </w:hyperlink>
      <w:r w:rsidR="002E053A" w:rsidRPr="00217893">
        <w:rPr>
          <w:rFonts w:ascii="Calibri" w:hAnsi="Calibri" w:cs="Calibri"/>
          <w:sz w:val="18"/>
          <w:szCs w:val="20"/>
          <w:shd w:val="clear" w:color="auto" w:fill="FFFFFF"/>
          <w:lang w:val="en-US"/>
        </w:rPr>
        <w:t xml:space="preserve"> </w:t>
      </w:r>
    </w:p>
    <w:p w14:paraId="2999E496" w14:textId="771117F4"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Peters MD, Godfrey C, McInerney P, Munn Z, </w:t>
      </w:r>
      <w:proofErr w:type="spellStart"/>
      <w:r w:rsidRPr="00217893">
        <w:rPr>
          <w:rFonts w:ascii="Calibri" w:eastAsia="Calibri" w:hAnsi="Calibri" w:cs="Calibri"/>
          <w:sz w:val="18"/>
          <w:szCs w:val="20"/>
          <w:lang w:val="en-US"/>
        </w:rPr>
        <w:t>Tricco</w:t>
      </w:r>
      <w:proofErr w:type="spellEnd"/>
      <w:r w:rsidRPr="00217893">
        <w:rPr>
          <w:rFonts w:ascii="Calibri" w:eastAsia="Calibri" w:hAnsi="Calibri" w:cs="Calibri"/>
          <w:sz w:val="18"/>
          <w:szCs w:val="20"/>
          <w:lang w:val="en-US"/>
        </w:rPr>
        <w:t xml:space="preserve"> AC, Khalil H. Chapter 11: Scoping Reviews (2021 version). In: </w:t>
      </w:r>
      <w:proofErr w:type="spellStart"/>
      <w:r w:rsidRPr="00217893">
        <w:rPr>
          <w:rFonts w:ascii="Calibri" w:eastAsia="Calibri" w:hAnsi="Calibri" w:cs="Calibri"/>
          <w:sz w:val="18"/>
          <w:szCs w:val="20"/>
          <w:lang w:val="en-US"/>
        </w:rPr>
        <w:t>Aromataris</w:t>
      </w:r>
      <w:proofErr w:type="spellEnd"/>
      <w:r w:rsidRPr="00217893">
        <w:rPr>
          <w:rFonts w:ascii="Calibri" w:eastAsia="Calibri" w:hAnsi="Calibri" w:cs="Calibri"/>
          <w:sz w:val="18"/>
          <w:szCs w:val="20"/>
          <w:lang w:val="en-US"/>
        </w:rPr>
        <w:t xml:space="preserve"> E, Munn Z (eds.). JBI Manual for Evidence Synthesis. JBI, 2021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lang w:val="en-US"/>
        </w:rPr>
        <w:t xml:space="preserve">]. Available from: </w:t>
      </w:r>
      <w:hyperlink r:id="rId30" w:history="1">
        <w:r w:rsidR="002E053A" w:rsidRPr="00217893">
          <w:rPr>
            <w:rStyle w:val="Hyperlink"/>
            <w:rFonts w:ascii="Calibri" w:eastAsia="Calibri" w:hAnsi="Calibri" w:cs="Calibri"/>
            <w:color w:val="auto"/>
            <w:sz w:val="18"/>
            <w:szCs w:val="20"/>
            <w:u w:val="none"/>
            <w:lang w:val="en-US"/>
          </w:rPr>
          <w:t>https://jbi-global-wiki.refined.site/space/MANUAL/4685874/Downloadable+PDF+-+current+version?attachment=/rest/api/content/4685874/child/attachment/att4691824/download&amp;type=application/pdf&amp;filename=JBIMES_2021April</w:t>
        </w:r>
      </w:hyperlink>
      <w:r w:rsidR="002E053A" w:rsidRPr="00217893">
        <w:rPr>
          <w:rFonts w:ascii="Calibri" w:eastAsia="Calibri" w:hAnsi="Calibri" w:cs="Calibri"/>
          <w:sz w:val="18"/>
          <w:szCs w:val="20"/>
          <w:lang w:val="en-US"/>
        </w:rPr>
        <w:t xml:space="preserve"> </w:t>
      </w:r>
    </w:p>
    <w:p w14:paraId="0FE30C03" w14:textId="65D0E92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lang w:val="en-US"/>
        </w:rPr>
        <w:t>Tricco</w:t>
      </w:r>
      <w:proofErr w:type="spellEnd"/>
      <w:r w:rsidRPr="00217893">
        <w:rPr>
          <w:rFonts w:ascii="Calibri" w:eastAsia="Calibri" w:hAnsi="Calibri" w:cs="Calibri"/>
          <w:sz w:val="18"/>
          <w:szCs w:val="20"/>
          <w:lang w:val="en-US"/>
        </w:rPr>
        <w:t xml:space="preserve"> AC, Lillie E, Zarin W, O'Brien KK, Colquhoun H, Levac D, et al. PRISMA extension for scoping reviews (PRISMA-</w:t>
      </w:r>
      <w:proofErr w:type="spellStart"/>
      <w:r w:rsidRPr="00217893">
        <w:rPr>
          <w:rFonts w:ascii="Calibri" w:eastAsia="Calibri" w:hAnsi="Calibri" w:cs="Calibri"/>
          <w:sz w:val="18"/>
          <w:szCs w:val="20"/>
          <w:lang w:val="en-US"/>
        </w:rPr>
        <w:t>ScR</w:t>
      </w:r>
      <w:proofErr w:type="spellEnd"/>
      <w:r w:rsidRPr="00217893">
        <w:rPr>
          <w:rFonts w:ascii="Calibri" w:eastAsia="Calibri" w:hAnsi="Calibri" w:cs="Calibri"/>
          <w:sz w:val="18"/>
          <w:szCs w:val="20"/>
          <w:lang w:val="en-US"/>
        </w:rPr>
        <w:t xml:space="preserve">): checklist and explanation. Ann Intern Med. 2018 [cited 2022 Jul 4]; 169(7):467-73. DOI: </w:t>
      </w:r>
      <w:hyperlink r:id="rId31" w:history="1">
        <w:r w:rsidRPr="00217893">
          <w:rPr>
            <w:rFonts w:ascii="Calibri" w:eastAsia="Calibri" w:hAnsi="Calibri" w:cs="Calibri"/>
            <w:sz w:val="18"/>
            <w:szCs w:val="20"/>
            <w:lang w:val="en-US"/>
          </w:rPr>
          <w:t>https://doi.org/10.7326/M18-0850</w:t>
        </w:r>
      </w:hyperlink>
      <w:r w:rsidR="002E053A" w:rsidRPr="00217893">
        <w:rPr>
          <w:rFonts w:ascii="Calibri" w:eastAsia="Calibri" w:hAnsi="Calibri" w:cs="Calibri"/>
          <w:sz w:val="18"/>
          <w:szCs w:val="20"/>
          <w:lang w:val="en-US"/>
        </w:rPr>
        <w:t xml:space="preserve"> </w:t>
      </w:r>
    </w:p>
    <w:p w14:paraId="14508770" w14:textId="48E0F0F7" w:rsidR="00F86AD5" w:rsidRPr="00217893" w:rsidRDefault="00F86AD5" w:rsidP="00F86AD5">
      <w:pPr>
        <w:pStyle w:val="Ttulo1"/>
        <w:numPr>
          <w:ilvl w:val="0"/>
          <w:numId w:val="34"/>
        </w:numPr>
        <w:shd w:val="clear" w:color="auto" w:fill="FFFFFF"/>
        <w:suppressAutoHyphens w:val="0"/>
        <w:spacing w:before="0" w:line="240" w:lineRule="auto"/>
        <w:ind w:left="284" w:hanging="284"/>
        <w:rPr>
          <w:rFonts w:ascii="Calibri" w:hAnsi="Calibri" w:cs="Calibri"/>
          <w:color w:val="auto"/>
          <w:sz w:val="18"/>
          <w:szCs w:val="20"/>
        </w:rPr>
      </w:pPr>
      <w:r w:rsidRPr="00217893">
        <w:rPr>
          <w:rFonts w:ascii="Calibri" w:hAnsi="Calibri" w:cs="Calibri"/>
          <w:color w:val="auto"/>
          <w:sz w:val="18"/>
          <w:szCs w:val="20"/>
        </w:rPr>
        <w:t xml:space="preserve">Taylor BE, Narayan V, Jumah F, Al-Mufti F, Nosko M, Roychowdhury A, et al. Ethical and medicolegal aspects in the management of neurosurgical emergencies among Jehovah's Witnesses: Clinical implications and review. Clin Neurol </w:t>
      </w:r>
      <w:proofErr w:type="spellStart"/>
      <w:r w:rsidRPr="00217893">
        <w:rPr>
          <w:rFonts w:ascii="Calibri" w:hAnsi="Calibri" w:cs="Calibri"/>
          <w:color w:val="auto"/>
          <w:sz w:val="18"/>
          <w:szCs w:val="20"/>
        </w:rPr>
        <w:t>Neurosurg</w:t>
      </w:r>
      <w:proofErr w:type="spellEnd"/>
      <w:r w:rsidRPr="00217893">
        <w:rPr>
          <w:rFonts w:ascii="Calibri" w:hAnsi="Calibri" w:cs="Calibri"/>
          <w:color w:val="auto"/>
          <w:sz w:val="18"/>
          <w:szCs w:val="20"/>
        </w:rPr>
        <w:t xml:space="preserve">. 2020 [cited 2022 Jul 4]; 194:105798. DOI: </w:t>
      </w:r>
      <w:hyperlink r:id="rId32" w:history="1">
        <w:r w:rsidR="002E053A" w:rsidRPr="00217893">
          <w:rPr>
            <w:rStyle w:val="Hyperlink"/>
            <w:rFonts w:ascii="Calibri" w:hAnsi="Calibri" w:cs="Calibri"/>
            <w:color w:val="auto"/>
            <w:sz w:val="18"/>
            <w:szCs w:val="20"/>
            <w:u w:val="none"/>
          </w:rPr>
          <w:t>https://doi.org/10.1016/j.clineuro.2020.105798</w:t>
        </w:r>
      </w:hyperlink>
      <w:r w:rsidR="002E053A" w:rsidRPr="00217893">
        <w:rPr>
          <w:rFonts w:ascii="Calibri" w:hAnsi="Calibri" w:cs="Calibri"/>
          <w:color w:val="auto"/>
          <w:sz w:val="18"/>
          <w:szCs w:val="20"/>
        </w:rPr>
        <w:t xml:space="preserve"> </w:t>
      </w:r>
    </w:p>
    <w:p w14:paraId="70689DF0" w14:textId="4704E676"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bookmarkStart w:id="5" w:name="_Hlk106027642"/>
      <w:proofErr w:type="spellStart"/>
      <w:r w:rsidRPr="00217893">
        <w:rPr>
          <w:rFonts w:ascii="Calibri" w:eastAsia="Calibri" w:hAnsi="Calibri" w:cs="Calibri"/>
          <w:sz w:val="18"/>
          <w:szCs w:val="20"/>
          <w:lang w:val="en-US"/>
        </w:rPr>
        <w:t>Chaer</w:t>
      </w:r>
      <w:proofErr w:type="spellEnd"/>
      <w:r w:rsidRPr="00217893">
        <w:rPr>
          <w:rFonts w:ascii="Calibri" w:eastAsia="Calibri" w:hAnsi="Calibri" w:cs="Calibri"/>
          <w:sz w:val="18"/>
          <w:szCs w:val="20"/>
          <w:lang w:val="en-US"/>
        </w:rPr>
        <w:t xml:space="preserve"> FE, Ballen KK. Treatment of acute </w:t>
      </w:r>
      <w:proofErr w:type="spellStart"/>
      <w:r w:rsidRPr="00217893">
        <w:rPr>
          <w:rFonts w:ascii="Calibri" w:eastAsia="Calibri" w:hAnsi="Calibri" w:cs="Calibri"/>
          <w:sz w:val="18"/>
          <w:szCs w:val="20"/>
          <w:lang w:val="en-US"/>
        </w:rPr>
        <w:t>leukaemia</w:t>
      </w:r>
      <w:proofErr w:type="spellEnd"/>
      <w:r w:rsidRPr="00217893">
        <w:rPr>
          <w:rFonts w:ascii="Calibri" w:eastAsia="Calibri" w:hAnsi="Calibri" w:cs="Calibri"/>
          <w:sz w:val="18"/>
          <w:szCs w:val="20"/>
          <w:lang w:val="en-US"/>
        </w:rPr>
        <w:t xml:space="preserve"> in adult Jehovah's Witnesses. Br J </w:t>
      </w:r>
      <w:proofErr w:type="spellStart"/>
      <w:r w:rsidRPr="00217893">
        <w:rPr>
          <w:rFonts w:ascii="Calibri" w:eastAsia="Calibri" w:hAnsi="Calibri" w:cs="Calibri"/>
          <w:sz w:val="18"/>
          <w:szCs w:val="20"/>
          <w:lang w:val="en-US"/>
        </w:rPr>
        <w:t>Haematol</w:t>
      </w:r>
      <w:proofErr w:type="spellEnd"/>
      <w:r w:rsidRPr="00217893">
        <w:rPr>
          <w:rFonts w:ascii="Calibri" w:hAnsi="Calibri" w:cs="Calibri"/>
          <w:sz w:val="18"/>
          <w:szCs w:val="20"/>
          <w:lang w:val="en-US"/>
        </w:rPr>
        <w:t>. 2020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190(5):696-707. DOI: </w:t>
      </w:r>
      <w:hyperlink r:id="rId33" w:history="1">
        <w:r w:rsidR="002E053A" w:rsidRPr="00217893">
          <w:rPr>
            <w:rStyle w:val="Hyperlink"/>
            <w:rFonts w:ascii="Calibri" w:hAnsi="Calibri" w:cs="Calibri"/>
            <w:color w:val="auto"/>
            <w:sz w:val="18"/>
            <w:szCs w:val="20"/>
            <w:u w:val="none"/>
            <w:shd w:val="clear" w:color="auto" w:fill="FFFFFF"/>
            <w:lang w:val="en-US"/>
          </w:rPr>
          <w:t>https://</w:t>
        </w:r>
        <w:r w:rsidR="002E053A" w:rsidRPr="00217893">
          <w:rPr>
            <w:rStyle w:val="Hyperlink"/>
            <w:rFonts w:ascii="Calibri" w:eastAsia="Calibri" w:hAnsi="Calibri" w:cs="Calibri"/>
            <w:color w:val="auto"/>
            <w:sz w:val="18"/>
            <w:szCs w:val="20"/>
            <w:u w:val="none"/>
            <w:lang w:val="en-US"/>
          </w:rPr>
          <w:t>doi:10.1111/bjh.16284</w:t>
        </w:r>
      </w:hyperlink>
      <w:bookmarkEnd w:id="5"/>
      <w:r w:rsidR="002E053A" w:rsidRPr="00217893">
        <w:rPr>
          <w:rFonts w:ascii="Calibri" w:eastAsia="Calibri" w:hAnsi="Calibri" w:cs="Calibri"/>
          <w:sz w:val="18"/>
          <w:szCs w:val="20"/>
          <w:lang w:val="en-US"/>
        </w:rPr>
        <w:t xml:space="preserve"> </w:t>
      </w:r>
    </w:p>
    <w:p w14:paraId="7880009D" w14:textId="3ECE0B79"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rPr>
        <w:t>Langhi</w:t>
      </w:r>
      <w:proofErr w:type="spellEnd"/>
      <w:r w:rsidRPr="00217893">
        <w:rPr>
          <w:rFonts w:ascii="Calibri" w:eastAsia="Calibri" w:hAnsi="Calibri" w:cs="Calibri"/>
          <w:sz w:val="18"/>
          <w:szCs w:val="20"/>
        </w:rPr>
        <w:t xml:space="preserve"> DM, Covas DT, Marques JF, </w:t>
      </w:r>
      <w:proofErr w:type="spellStart"/>
      <w:r w:rsidRPr="00217893">
        <w:rPr>
          <w:rFonts w:ascii="Calibri" w:eastAsia="Calibri" w:hAnsi="Calibri" w:cs="Calibri"/>
          <w:sz w:val="18"/>
          <w:szCs w:val="20"/>
        </w:rPr>
        <w:t>Mendrone</w:t>
      </w:r>
      <w:proofErr w:type="spellEnd"/>
      <w:r w:rsidRPr="00217893">
        <w:rPr>
          <w:rFonts w:ascii="Calibri" w:eastAsia="Calibri" w:hAnsi="Calibri" w:cs="Calibri"/>
          <w:sz w:val="18"/>
          <w:szCs w:val="20"/>
        </w:rPr>
        <w:t xml:space="preserve"> A, </w:t>
      </w:r>
      <w:proofErr w:type="spellStart"/>
      <w:r w:rsidRPr="00217893">
        <w:rPr>
          <w:rFonts w:ascii="Calibri" w:eastAsia="Calibri" w:hAnsi="Calibri" w:cs="Calibri"/>
          <w:sz w:val="18"/>
          <w:szCs w:val="20"/>
        </w:rPr>
        <w:t>Ubiali</w:t>
      </w:r>
      <w:proofErr w:type="spellEnd"/>
      <w:r w:rsidRPr="00217893">
        <w:rPr>
          <w:rFonts w:ascii="Calibri" w:eastAsia="Calibri" w:hAnsi="Calibri" w:cs="Calibri"/>
          <w:sz w:val="18"/>
          <w:szCs w:val="20"/>
        </w:rPr>
        <w:t xml:space="preserve"> </w:t>
      </w:r>
      <w:proofErr w:type="gramStart"/>
      <w:r w:rsidRPr="00217893">
        <w:rPr>
          <w:rFonts w:ascii="Calibri" w:eastAsia="Calibri" w:hAnsi="Calibri" w:cs="Calibri"/>
          <w:sz w:val="18"/>
          <w:szCs w:val="20"/>
        </w:rPr>
        <w:t>EM, Santis</w:t>
      </w:r>
      <w:proofErr w:type="gramEnd"/>
      <w:r w:rsidRPr="00217893">
        <w:rPr>
          <w:rFonts w:ascii="Calibri" w:eastAsia="Calibri" w:hAnsi="Calibri" w:cs="Calibri"/>
          <w:sz w:val="18"/>
          <w:szCs w:val="20"/>
        </w:rPr>
        <w:t xml:space="preserve"> GC, et al. </w:t>
      </w:r>
      <w:r w:rsidRPr="00217893">
        <w:rPr>
          <w:rFonts w:ascii="Calibri" w:eastAsia="Calibri" w:hAnsi="Calibri" w:cs="Calibri"/>
          <w:sz w:val="18"/>
          <w:szCs w:val="20"/>
          <w:lang w:val="en-US"/>
        </w:rPr>
        <w:t xml:space="preserve">Guidelines on transfusion of red blood cells: Prognosis of patients who decline blood transfusions. </w:t>
      </w:r>
      <w:proofErr w:type="spellStart"/>
      <w:r w:rsidRPr="00217893">
        <w:rPr>
          <w:rFonts w:ascii="Calibri" w:eastAsia="Calibri" w:hAnsi="Calibri" w:cs="Calibri"/>
          <w:sz w:val="18"/>
          <w:szCs w:val="20"/>
          <w:lang w:val="en-US"/>
        </w:rPr>
        <w:t>Hematol</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Transfus</w:t>
      </w:r>
      <w:proofErr w:type="spellEnd"/>
      <w:r w:rsidRPr="00217893">
        <w:rPr>
          <w:rFonts w:ascii="Calibri" w:eastAsia="Calibri" w:hAnsi="Calibri" w:cs="Calibri"/>
          <w:sz w:val="18"/>
          <w:szCs w:val="20"/>
          <w:lang w:val="en-US"/>
        </w:rPr>
        <w:t xml:space="preserve"> Cell Ther</w:t>
      </w:r>
      <w:r w:rsidRPr="00217893">
        <w:rPr>
          <w:rFonts w:ascii="Calibri" w:hAnsi="Calibri" w:cs="Calibri"/>
          <w:sz w:val="18"/>
          <w:szCs w:val="20"/>
          <w:lang w:val="en-US"/>
        </w:rPr>
        <w:t>. 2018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40(4):377-81. DOI: </w:t>
      </w:r>
      <w:hyperlink r:id="rId34" w:history="1">
        <w:r w:rsidR="002E053A" w:rsidRPr="00217893">
          <w:rPr>
            <w:rStyle w:val="Hyperlink"/>
            <w:rFonts w:ascii="Calibri" w:eastAsia="Calibri" w:hAnsi="Calibri" w:cs="Calibri"/>
            <w:color w:val="auto"/>
            <w:sz w:val="18"/>
            <w:szCs w:val="20"/>
            <w:u w:val="none"/>
            <w:lang w:val="en-US"/>
          </w:rPr>
          <w:t>https://doi:10.1016/j.htct.2018.08.001</w:t>
        </w:r>
      </w:hyperlink>
      <w:r w:rsidR="002E053A" w:rsidRPr="00217893">
        <w:rPr>
          <w:rFonts w:ascii="Calibri" w:eastAsia="Calibri" w:hAnsi="Calibri" w:cs="Calibri"/>
          <w:sz w:val="18"/>
          <w:szCs w:val="20"/>
          <w:lang w:val="en-US"/>
        </w:rPr>
        <w:t xml:space="preserve"> </w:t>
      </w:r>
    </w:p>
    <w:p w14:paraId="61A46DC3" w14:textId="10E1A410" w:rsidR="00F86AD5" w:rsidRPr="00217893" w:rsidRDefault="00F86AD5" w:rsidP="00F86AD5">
      <w:pPr>
        <w:pStyle w:val="PargrafodaLista"/>
        <w:numPr>
          <w:ilvl w:val="0"/>
          <w:numId w:val="34"/>
        </w:numPr>
        <w:spacing w:after="0" w:line="240" w:lineRule="auto"/>
        <w:ind w:left="284" w:hanging="284"/>
        <w:contextualSpacing w:val="0"/>
        <w:rPr>
          <w:rStyle w:val="citation-doi"/>
          <w:rFonts w:ascii="Calibri" w:hAnsi="Calibri" w:cs="Calibri"/>
          <w:sz w:val="18"/>
          <w:szCs w:val="20"/>
          <w:shd w:val="clear" w:color="auto" w:fill="FFFFFF"/>
          <w:lang w:val="en-US"/>
        </w:rPr>
      </w:pPr>
      <w:r w:rsidRPr="00217893">
        <w:rPr>
          <w:rFonts w:ascii="Calibri" w:eastAsia="Calibri" w:hAnsi="Calibri" w:cs="Calibri"/>
          <w:sz w:val="18"/>
          <w:szCs w:val="20"/>
          <w:lang w:val="en-US"/>
        </w:rPr>
        <w:t xml:space="preserve">Zeybek B, Childress AM, Kilic GS, Phelps JY, Pacheco LD, Carter MA, et al. Management of the Jehovah's Witness in obstetrics and gynecology: a comprehensive medical, ethical, and legal approach. </w:t>
      </w:r>
      <w:proofErr w:type="spellStart"/>
      <w:r w:rsidRPr="00217893">
        <w:rPr>
          <w:rFonts w:ascii="Calibri" w:eastAsia="Calibri" w:hAnsi="Calibri" w:cs="Calibri"/>
          <w:sz w:val="18"/>
          <w:szCs w:val="20"/>
          <w:lang w:val="en-US"/>
        </w:rPr>
        <w:t>Obstet</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Gynecol</w:t>
      </w:r>
      <w:proofErr w:type="spellEnd"/>
      <w:r w:rsidRPr="00217893">
        <w:rPr>
          <w:rFonts w:ascii="Calibri" w:eastAsia="Calibri" w:hAnsi="Calibri" w:cs="Calibri"/>
          <w:sz w:val="18"/>
          <w:szCs w:val="20"/>
          <w:lang w:val="en-US"/>
        </w:rPr>
        <w:t xml:space="preserve"> Surv</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2016</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shd w:val="clear" w:color="auto" w:fill="FFFFFF"/>
          <w:lang w:val="en-US"/>
        </w:rPr>
        <w:t xml:space="preserve">]; 4(1):562-77. DOI: </w:t>
      </w:r>
      <w:hyperlink r:id="rId35" w:history="1">
        <w:r w:rsidR="002E053A" w:rsidRPr="00217893">
          <w:rPr>
            <w:rStyle w:val="Hyperlink"/>
            <w:rFonts w:ascii="Calibri" w:hAnsi="Calibri" w:cs="Calibri"/>
            <w:color w:val="auto"/>
            <w:sz w:val="18"/>
            <w:szCs w:val="20"/>
            <w:u w:val="none"/>
            <w:shd w:val="clear" w:color="auto" w:fill="FFFFFF"/>
            <w:lang w:val="en-US"/>
          </w:rPr>
          <w:t>https://10.1097/OGX.0000000000000343</w:t>
        </w:r>
      </w:hyperlink>
      <w:r w:rsidR="002E053A" w:rsidRPr="00217893">
        <w:rPr>
          <w:rStyle w:val="citation-doi"/>
          <w:rFonts w:ascii="Calibri" w:hAnsi="Calibri" w:cs="Calibri"/>
          <w:sz w:val="18"/>
          <w:szCs w:val="20"/>
          <w:shd w:val="clear" w:color="auto" w:fill="FFFFFF"/>
          <w:lang w:val="en-US"/>
        </w:rPr>
        <w:t xml:space="preserve"> </w:t>
      </w:r>
    </w:p>
    <w:p w14:paraId="7C13ACE0" w14:textId="77777777" w:rsidR="00F86AD5" w:rsidRPr="00217893" w:rsidRDefault="00F86AD5" w:rsidP="00F86AD5">
      <w:pPr>
        <w:pStyle w:val="PargrafodaLista"/>
        <w:numPr>
          <w:ilvl w:val="0"/>
          <w:numId w:val="34"/>
        </w:numPr>
        <w:shd w:val="clear" w:color="auto" w:fill="FFFFFF"/>
        <w:spacing w:after="0" w:line="240" w:lineRule="auto"/>
        <w:ind w:left="284" w:hanging="284"/>
        <w:contextualSpacing w:val="0"/>
        <w:rPr>
          <w:rFonts w:ascii="Calibri" w:hAnsi="Calibri" w:cs="Calibri"/>
          <w:sz w:val="18"/>
          <w:szCs w:val="20"/>
        </w:rPr>
      </w:pPr>
      <w:r w:rsidRPr="00217893">
        <w:rPr>
          <w:rFonts w:ascii="Calibri" w:eastAsia="Calibri" w:hAnsi="Calibri" w:cs="Calibri"/>
          <w:sz w:val="18"/>
          <w:szCs w:val="20"/>
          <w:lang w:val="en-US"/>
        </w:rPr>
        <w:t>Beltrão SR. [</w:t>
      </w:r>
      <w:r w:rsidRPr="00217893">
        <w:rPr>
          <w:rFonts w:ascii="Calibri" w:hAnsi="Calibri" w:cs="Calibri"/>
          <w:sz w:val="18"/>
          <w:szCs w:val="20"/>
          <w:lang w:val="en-US"/>
        </w:rPr>
        <w:t>Autonomy of the patient’s will and capacity to consent: a reflection on the irresistible coercion]</w:t>
      </w:r>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rPr>
        <w:t>Rev</w:t>
      </w:r>
      <w:proofErr w:type="spellEnd"/>
      <w:r w:rsidRPr="00217893">
        <w:rPr>
          <w:rFonts w:ascii="Calibri" w:eastAsia="Calibri" w:hAnsi="Calibri" w:cs="Calibri"/>
          <w:sz w:val="18"/>
          <w:szCs w:val="20"/>
        </w:rPr>
        <w:t xml:space="preserve"> Dir </w:t>
      </w:r>
      <w:proofErr w:type="spellStart"/>
      <w:r w:rsidRPr="00217893">
        <w:rPr>
          <w:rFonts w:ascii="Calibri" w:eastAsia="Calibri" w:hAnsi="Calibri" w:cs="Calibri"/>
          <w:sz w:val="18"/>
          <w:szCs w:val="20"/>
        </w:rPr>
        <w:t>Sanit</w:t>
      </w:r>
      <w:proofErr w:type="spellEnd"/>
      <w:r w:rsidRPr="00217893">
        <w:rPr>
          <w:rFonts w:ascii="Calibri" w:hAnsi="Calibri" w:cs="Calibri"/>
          <w:sz w:val="18"/>
          <w:szCs w:val="20"/>
        </w:rPr>
        <w:t>. 2018 [</w:t>
      </w:r>
      <w:proofErr w:type="spellStart"/>
      <w:r w:rsidRPr="00217893">
        <w:rPr>
          <w:rFonts w:ascii="Calibri" w:eastAsia="Calibri" w:hAnsi="Calibri" w:cs="Calibri"/>
          <w:sz w:val="18"/>
          <w:szCs w:val="20"/>
        </w:rPr>
        <w:t>cited</w:t>
      </w:r>
      <w:proofErr w:type="spellEnd"/>
      <w:r w:rsidRPr="00217893">
        <w:rPr>
          <w:rFonts w:ascii="Calibri" w:eastAsia="Calibri" w:hAnsi="Calibri" w:cs="Calibri"/>
          <w:sz w:val="18"/>
          <w:szCs w:val="20"/>
        </w:rPr>
        <w:t xml:space="preserve"> 2022 Jul 4</w:t>
      </w:r>
      <w:r w:rsidRPr="00217893">
        <w:rPr>
          <w:rFonts w:ascii="Calibri" w:hAnsi="Calibri" w:cs="Calibri"/>
          <w:sz w:val="18"/>
          <w:szCs w:val="20"/>
        </w:rPr>
        <w:t xml:space="preserve">]; </w:t>
      </w:r>
      <w:r w:rsidRPr="00217893">
        <w:rPr>
          <w:rFonts w:ascii="Calibri" w:eastAsia="Calibri" w:hAnsi="Calibri" w:cs="Calibri"/>
          <w:sz w:val="18"/>
          <w:szCs w:val="20"/>
        </w:rPr>
        <w:t xml:space="preserve">17(2):98-116. </w:t>
      </w:r>
      <w:proofErr w:type="spellStart"/>
      <w:r w:rsidRPr="00217893">
        <w:rPr>
          <w:rFonts w:ascii="Calibri" w:eastAsia="Calibri" w:hAnsi="Calibri" w:cs="Calibri"/>
          <w:sz w:val="18"/>
          <w:szCs w:val="20"/>
        </w:rPr>
        <w:t>Portuguese</w:t>
      </w:r>
      <w:proofErr w:type="spellEnd"/>
      <w:r w:rsidRPr="00217893">
        <w:rPr>
          <w:rFonts w:ascii="Calibri" w:eastAsia="Calibri" w:hAnsi="Calibri" w:cs="Calibri"/>
          <w:sz w:val="18"/>
          <w:szCs w:val="20"/>
        </w:rPr>
        <w:t xml:space="preserve">. DOI: </w:t>
      </w:r>
      <w:hyperlink r:id="rId36" w:history="1">
        <w:r w:rsidRPr="00217893">
          <w:rPr>
            <w:rStyle w:val="Hyperlink"/>
            <w:rFonts w:ascii="Calibri" w:hAnsi="Calibri" w:cs="Calibri"/>
            <w:color w:val="auto"/>
            <w:sz w:val="18"/>
            <w:szCs w:val="20"/>
            <w:u w:val="none"/>
            <w:shd w:val="clear" w:color="auto" w:fill="FFFFFF"/>
          </w:rPr>
          <w:t>https://doi.org/10.11606/issn.2316-9044.v17i2p98-116</w:t>
        </w:r>
      </w:hyperlink>
    </w:p>
    <w:p w14:paraId="19DC01D1" w14:textId="7D2CA676"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Braithwaite P, Chichester M, Reid A. When the pregnant Jehovah's Witness patient refuses blood: implications for nurses. </w:t>
      </w:r>
      <w:proofErr w:type="spellStart"/>
      <w:r w:rsidRPr="00217893">
        <w:rPr>
          <w:rFonts w:ascii="Calibri" w:eastAsia="Calibri" w:hAnsi="Calibri" w:cs="Calibri"/>
          <w:sz w:val="18"/>
          <w:szCs w:val="20"/>
          <w:lang w:val="en-US"/>
        </w:rPr>
        <w:t>Nurs</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Womens</w:t>
      </w:r>
      <w:proofErr w:type="spellEnd"/>
      <w:r w:rsidRPr="00217893">
        <w:rPr>
          <w:rFonts w:ascii="Calibri" w:eastAsia="Calibri" w:hAnsi="Calibri" w:cs="Calibri"/>
          <w:sz w:val="18"/>
          <w:szCs w:val="20"/>
          <w:lang w:val="en-US"/>
        </w:rPr>
        <w:t xml:space="preserve"> Health</w:t>
      </w:r>
      <w:r w:rsidRPr="00217893">
        <w:rPr>
          <w:rFonts w:ascii="Calibri" w:hAnsi="Calibri" w:cs="Calibri"/>
          <w:sz w:val="18"/>
          <w:szCs w:val="20"/>
          <w:lang w:val="en-US"/>
        </w:rPr>
        <w:t>. 2010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14(6):462-70. DOI:</w:t>
      </w:r>
      <w:r w:rsidRPr="00217893">
        <w:rPr>
          <w:rFonts w:ascii="Calibri" w:hAnsi="Calibri" w:cs="Calibri"/>
          <w:sz w:val="18"/>
          <w:szCs w:val="20"/>
          <w:shd w:val="clear" w:color="auto" w:fill="FFFFFF"/>
          <w:lang w:val="en-US"/>
        </w:rPr>
        <w:t xml:space="preserve"> </w:t>
      </w:r>
      <w:hyperlink r:id="rId37" w:history="1">
        <w:r w:rsidR="002E053A" w:rsidRPr="00217893">
          <w:rPr>
            <w:rStyle w:val="Hyperlink"/>
            <w:rFonts w:ascii="Calibri" w:hAnsi="Calibri" w:cs="Calibri"/>
            <w:color w:val="auto"/>
            <w:sz w:val="18"/>
            <w:szCs w:val="20"/>
            <w:u w:val="none"/>
            <w:shd w:val="clear" w:color="auto" w:fill="FFFFFF"/>
            <w:lang w:val="en-US"/>
          </w:rPr>
          <w:t>https://doi.org/10.1111/j.1751-486X.2010.01593.x</w:t>
        </w:r>
      </w:hyperlink>
      <w:r w:rsidR="002E053A" w:rsidRPr="00217893">
        <w:rPr>
          <w:rFonts w:ascii="Calibri" w:hAnsi="Calibri" w:cs="Calibri"/>
          <w:sz w:val="18"/>
          <w:szCs w:val="20"/>
          <w:shd w:val="clear" w:color="auto" w:fill="FFFFFF"/>
          <w:lang w:val="en-US"/>
        </w:rPr>
        <w:t xml:space="preserve"> </w:t>
      </w:r>
    </w:p>
    <w:p w14:paraId="283E6CE5" w14:textId="64A6B85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Azambuja LE, Garrafa V. </w:t>
      </w:r>
      <w:r w:rsidRPr="00217893">
        <w:rPr>
          <w:rFonts w:ascii="Calibri" w:hAnsi="Calibri" w:cs="Calibri"/>
          <w:sz w:val="18"/>
          <w:szCs w:val="20"/>
          <w:lang w:val="en-US"/>
        </w:rPr>
        <w:t xml:space="preserve">Jehovah’s Witnesses’ positions on the use of </w:t>
      </w:r>
      <w:proofErr w:type="spellStart"/>
      <w:r w:rsidRPr="00217893">
        <w:rPr>
          <w:rFonts w:ascii="Calibri" w:hAnsi="Calibri" w:cs="Calibri"/>
          <w:sz w:val="18"/>
          <w:szCs w:val="20"/>
          <w:lang w:val="en-US"/>
        </w:rPr>
        <w:t>hemocomponents</w:t>
      </w:r>
      <w:proofErr w:type="spellEnd"/>
      <w:r w:rsidRPr="00217893">
        <w:rPr>
          <w:rFonts w:ascii="Calibri" w:hAnsi="Calibri" w:cs="Calibri"/>
          <w:sz w:val="18"/>
          <w:szCs w:val="20"/>
          <w:lang w:val="en-US"/>
        </w:rPr>
        <w:t xml:space="preserve"> and hemoderivatives</w:t>
      </w:r>
      <w:r w:rsidRPr="00217893">
        <w:rPr>
          <w:rFonts w:ascii="Calibri" w:eastAsia="Calibri" w:hAnsi="Calibri" w:cs="Calibri"/>
          <w:sz w:val="18"/>
          <w:szCs w:val="20"/>
          <w:lang w:val="en-US"/>
        </w:rPr>
        <w:t>. Rev Assoc Med Bras</w:t>
      </w:r>
      <w:r w:rsidRPr="00217893">
        <w:rPr>
          <w:rFonts w:ascii="Calibri" w:hAnsi="Calibri" w:cs="Calibri"/>
          <w:sz w:val="18"/>
          <w:szCs w:val="20"/>
          <w:lang w:val="en-US"/>
        </w:rPr>
        <w:t>. 2010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56(6):705-9. </w:t>
      </w:r>
      <w:r w:rsidRPr="00217893">
        <w:rPr>
          <w:rFonts w:ascii="Calibri" w:hAnsi="Calibri" w:cs="Calibri"/>
          <w:sz w:val="18"/>
          <w:szCs w:val="20"/>
          <w:shd w:val="clear" w:color="auto" w:fill="FFFFFF"/>
          <w:lang w:val="en-US"/>
        </w:rPr>
        <w:t xml:space="preserve">DOI: </w:t>
      </w:r>
      <w:hyperlink r:id="rId38" w:history="1">
        <w:r w:rsidR="002E053A" w:rsidRPr="00217893">
          <w:rPr>
            <w:rStyle w:val="Hyperlink"/>
            <w:rFonts w:ascii="Calibri" w:hAnsi="Calibri" w:cs="Calibri"/>
            <w:color w:val="auto"/>
            <w:sz w:val="18"/>
            <w:szCs w:val="20"/>
            <w:u w:val="none"/>
            <w:shd w:val="clear" w:color="auto" w:fill="FFFFFF"/>
            <w:lang w:val="en-US"/>
          </w:rPr>
          <w:t>https://doi.org/10.1590/S0104-42302010000600022</w:t>
        </w:r>
      </w:hyperlink>
      <w:r w:rsidR="002E053A" w:rsidRPr="00217893">
        <w:rPr>
          <w:rFonts w:ascii="Calibri" w:hAnsi="Calibri" w:cs="Calibri"/>
          <w:sz w:val="18"/>
          <w:szCs w:val="20"/>
          <w:shd w:val="clear" w:color="auto" w:fill="FFFFFF"/>
          <w:lang w:val="en-US"/>
        </w:rPr>
        <w:t xml:space="preserve"> </w:t>
      </w:r>
    </w:p>
    <w:p w14:paraId="7DE448FB"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Banja JD. Overriding the Jehovah's Witness patient's refusal of blood: a reply to Cahana, Weibel, and Hurst. Pain Med.</w:t>
      </w:r>
      <w:r w:rsidRPr="00217893">
        <w:rPr>
          <w:rFonts w:ascii="Calibri" w:hAnsi="Calibri" w:cs="Calibri"/>
          <w:sz w:val="18"/>
          <w:szCs w:val="20"/>
          <w:lang w:val="en-US"/>
        </w:rPr>
        <w:t xml:space="preserve"> 2009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10(5):878-82. DOI: </w:t>
      </w:r>
      <w:hyperlink r:id="rId39" w:history="1">
        <w:r w:rsidRPr="00217893">
          <w:rPr>
            <w:rStyle w:val="Hyperlink"/>
            <w:rFonts w:ascii="Calibri" w:hAnsi="Calibri" w:cs="Calibri"/>
            <w:color w:val="auto"/>
            <w:sz w:val="18"/>
            <w:szCs w:val="20"/>
            <w:u w:val="none"/>
            <w:bdr w:val="none" w:sz="0" w:space="0" w:color="auto" w:frame="1"/>
            <w:shd w:val="clear" w:color="auto" w:fill="FFFFFF"/>
            <w:lang w:val="en-US"/>
          </w:rPr>
          <w:t>https://doi.org/10.1111/j.1526-4637.2009.00648.x</w:t>
        </w:r>
      </w:hyperlink>
    </w:p>
    <w:p w14:paraId="39D0C370" w14:textId="6AFB046C"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rPr>
      </w:pPr>
      <w:r w:rsidRPr="00217893">
        <w:rPr>
          <w:rFonts w:ascii="Calibri" w:hAnsi="Calibri" w:cs="Calibri"/>
          <w:sz w:val="18"/>
          <w:szCs w:val="20"/>
        </w:rPr>
        <w:t xml:space="preserve">França IS, Baptista RS, Brito VR. </w:t>
      </w:r>
      <w:r w:rsidRPr="00217893">
        <w:rPr>
          <w:rFonts w:ascii="Calibri" w:hAnsi="Calibri" w:cs="Calibri"/>
          <w:sz w:val="18"/>
          <w:szCs w:val="20"/>
          <w:lang w:val="en-US"/>
        </w:rPr>
        <w:t xml:space="preserve">Ethical dilemmas in blood transfusion in </w:t>
      </w:r>
      <w:proofErr w:type="spellStart"/>
      <w:r w:rsidRPr="00217893">
        <w:rPr>
          <w:rFonts w:ascii="Calibri" w:hAnsi="Calibri" w:cs="Calibri"/>
          <w:sz w:val="18"/>
          <w:szCs w:val="20"/>
          <w:lang w:val="en-US"/>
        </w:rPr>
        <w:t>Jehovahís</w:t>
      </w:r>
      <w:proofErr w:type="spellEnd"/>
      <w:r w:rsidRPr="00217893">
        <w:rPr>
          <w:rFonts w:ascii="Calibri" w:hAnsi="Calibri" w:cs="Calibri"/>
          <w:sz w:val="18"/>
          <w:szCs w:val="20"/>
          <w:lang w:val="en-US"/>
        </w:rPr>
        <w:t xml:space="preserve"> Witnesses: A legal-bioethical analysis. </w:t>
      </w:r>
      <w:r w:rsidRPr="00217893">
        <w:rPr>
          <w:rFonts w:ascii="Calibri" w:hAnsi="Calibri" w:cs="Calibri"/>
          <w:sz w:val="18"/>
          <w:szCs w:val="20"/>
        </w:rPr>
        <w:t>Acta Paul Enferm.  2008 [</w:t>
      </w:r>
      <w:proofErr w:type="spellStart"/>
      <w:r w:rsidRPr="00217893">
        <w:rPr>
          <w:rFonts w:ascii="Calibri" w:eastAsia="Calibri" w:hAnsi="Calibri" w:cs="Calibri"/>
          <w:sz w:val="18"/>
          <w:szCs w:val="20"/>
        </w:rPr>
        <w:t>cited</w:t>
      </w:r>
      <w:proofErr w:type="spellEnd"/>
      <w:r w:rsidRPr="00217893">
        <w:rPr>
          <w:rFonts w:ascii="Calibri" w:eastAsia="Calibri" w:hAnsi="Calibri" w:cs="Calibri"/>
          <w:sz w:val="18"/>
          <w:szCs w:val="20"/>
        </w:rPr>
        <w:t xml:space="preserve"> 2022 Jul 4</w:t>
      </w:r>
      <w:r w:rsidRPr="00217893">
        <w:rPr>
          <w:rFonts w:ascii="Calibri" w:hAnsi="Calibri" w:cs="Calibri"/>
          <w:sz w:val="18"/>
          <w:szCs w:val="20"/>
        </w:rPr>
        <w:t>]; 21(3):498-503. DOI: http://</w:t>
      </w:r>
      <w:hyperlink r:id="rId40" w:history="1">
        <w:r w:rsidRPr="00217893">
          <w:rPr>
            <w:rFonts w:ascii="Calibri" w:hAnsi="Calibri" w:cs="Calibri"/>
            <w:sz w:val="18"/>
            <w:szCs w:val="20"/>
          </w:rPr>
          <w:t>doi.org/10.1590/S0103-21002008000300019</w:t>
        </w:r>
      </w:hyperlink>
      <w:r w:rsidR="002E053A" w:rsidRPr="00217893">
        <w:rPr>
          <w:rFonts w:ascii="Calibri" w:hAnsi="Calibri" w:cs="Calibri"/>
          <w:sz w:val="18"/>
          <w:szCs w:val="20"/>
        </w:rPr>
        <w:t xml:space="preserve"> </w:t>
      </w:r>
    </w:p>
    <w:p w14:paraId="18E67C14" w14:textId="700DFF71"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lang w:val="en-US"/>
        </w:rPr>
      </w:pPr>
      <w:r w:rsidRPr="00217893">
        <w:rPr>
          <w:rFonts w:ascii="Calibri" w:hAnsi="Calibri" w:cs="Calibri"/>
          <w:sz w:val="18"/>
          <w:szCs w:val="20"/>
          <w:lang w:val="en-US"/>
        </w:rPr>
        <w:t xml:space="preserve">Thomas CM, Coleman HR, Morritt Taub LF. A case study of an older adult with severe anemia refusing blood transfusion. J Am </w:t>
      </w:r>
      <w:proofErr w:type="spellStart"/>
      <w:r w:rsidRPr="00217893">
        <w:rPr>
          <w:rFonts w:ascii="Calibri" w:hAnsi="Calibri" w:cs="Calibri"/>
          <w:sz w:val="18"/>
          <w:szCs w:val="20"/>
          <w:lang w:val="en-US"/>
        </w:rPr>
        <w:t>Acad</w:t>
      </w:r>
      <w:proofErr w:type="spellEnd"/>
      <w:r w:rsidRPr="00217893">
        <w:rPr>
          <w:rFonts w:ascii="Calibri" w:hAnsi="Calibri" w:cs="Calibri"/>
          <w:sz w:val="18"/>
          <w:szCs w:val="20"/>
          <w:lang w:val="en-US"/>
        </w:rPr>
        <w:t xml:space="preserve"> Nurse </w:t>
      </w:r>
      <w:proofErr w:type="spellStart"/>
      <w:r w:rsidRPr="00217893">
        <w:rPr>
          <w:rFonts w:ascii="Calibri" w:hAnsi="Calibri" w:cs="Calibri"/>
          <w:sz w:val="18"/>
          <w:szCs w:val="20"/>
          <w:lang w:val="en-US"/>
        </w:rPr>
        <w:t>Pract</w:t>
      </w:r>
      <w:proofErr w:type="spellEnd"/>
      <w:r w:rsidRPr="00217893">
        <w:rPr>
          <w:rFonts w:ascii="Calibri" w:hAnsi="Calibri" w:cs="Calibri"/>
          <w:sz w:val="18"/>
          <w:szCs w:val="20"/>
          <w:lang w:val="en-US"/>
        </w:rPr>
        <w:t xml:space="preserve">. 2007 [cited 2022 Jul 4]; 19(1):43-8. DOI: </w:t>
      </w:r>
      <w:bookmarkStart w:id="6" w:name="_Hlk109378228"/>
      <w:r w:rsidR="002E053A" w:rsidRPr="00217893">
        <w:rPr>
          <w:rFonts w:ascii="Calibri" w:hAnsi="Calibri" w:cs="Calibri"/>
          <w:sz w:val="18"/>
          <w:szCs w:val="20"/>
          <w:lang w:val="en-US"/>
        </w:rPr>
        <w:fldChar w:fldCharType="begin"/>
      </w:r>
      <w:r w:rsidR="002E053A" w:rsidRPr="00217893">
        <w:rPr>
          <w:rFonts w:ascii="Calibri" w:hAnsi="Calibri" w:cs="Calibri"/>
          <w:sz w:val="18"/>
          <w:szCs w:val="20"/>
          <w:lang w:val="en-US"/>
        </w:rPr>
        <w:instrText xml:space="preserve"> HYPERLINK "https://doi.org/10.1111/j.1745-7599.2006.00188.x" </w:instrText>
      </w:r>
      <w:r w:rsidR="002E053A" w:rsidRPr="00217893">
        <w:rPr>
          <w:rFonts w:ascii="Calibri" w:hAnsi="Calibri" w:cs="Calibri"/>
          <w:sz w:val="18"/>
          <w:szCs w:val="20"/>
          <w:lang w:val="en-US"/>
        </w:rPr>
        <w:fldChar w:fldCharType="separate"/>
      </w:r>
      <w:r w:rsidR="002E053A" w:rsidRPr="00217893">
        <w:rPr>
          <w:rStyle w:val="Hyperlink"/>
          <w:rFonts w:ascii="Calibri" w:hAnsi="Calibri" w:cs="Calibri"/>
          <w:color w:val="auto"/>
          <w:sz w:val="18"/>
          <w:szCs w:val="20"/>
          <w:u w:val="none"/>
          <w:lang w:val="en-US"/>
        </w:rPr>
        <w:t>https://doi.org/10.1111/j.1745-7599.2006.00188.x</w:t>
      </w:r>
      <w:r w:rsidR="002E053A" w:rsidRPr="00217893">
        <w:rPr>
          <w:rFonts w:ascii="Calibri" w:hAnsi="Calibri" w:cs="Calibri"/>
          <w:sz w:val="18"/>
          <w:szCs w:val="20"/>
          <w:lang w:val="en-US"/>
        </w:rPr>
        <w:fldChar w:fldCharType="end"/>
      </w:r>
      <w:bookmarkEnd w:id="6"/>
      <w:r w:rsidR="002E053A" w:rsidRPr="00217893">
        <w:rPr>
          <w:rFonts w:ascii="Calibri" w:hAnsi="Calibri" w:cs="Calibri"/>
          <w:sz w:val="18"/>
          <w:szCs w:val="20"/>
          <w:lang w:val="en-US"/>
        </w:rPr>
        <w:t xml:space="preserve"> </w:t>
      </w:r>
    </w:p>
    <w:p w14:paraId="5D32BD51" w14:textId="77777777" w:rsidR="00F86AD5" w:rsidRPr="00217893" w:rsidRDefault="00F86AD5" w:rsidP="00F86AD5">
      <w:pPr>
        <w:pStyle w:val="PargrafodaLista"/>
        <w:numPr>
          <w:ilvl w:val="0"/>
          <w:numId w:val="34"/>
        </w:numPr>
        <w:spacing w:after="0" w:line="240" w:lineRule="auto"/>
        <w:ind w:left="284" w:hanging="284"/>
        <w:contextualSpacing w:val="0"/>
        <w:rPr>
          <w:rStyle w:val="nfase"/>
          <w:rFonts w:ascii="Calibri" w:hAnsi="Calibri" w:cs="Calibri"/>
          <w:i/>
          <w:iCs/>
          <w:sz w:val="18"/>
          <w:szCs w:val="20"/>
          <w:shd w:val="clear" w:color="auto" w:fill="FFFFFF"/>
          <w:lang w:val="en-US"/>
        </w:rPr>
      </w:pPr>
      <w:r w:rsidRPr="00217893">
        <w:rPr>
          <w:rFonts w:ascii="Calibri" w:eastAsia="Calibri" w:hAnsi="Calibri" w:cs="Calibri"/>
          <w:sz w:val="18"/>
          <w:szCs w:val="20"/>
          <w:lang w:val="en-US"/>
        </w:rPr>
        <w:t>Rogers DM, Crookston KP. The approach to the patient who refuses blood transfusion. Transfusion</w:t>
      </w:r>
      <w:r w:rsidRPr="00217893">
        <w:rPr>
          <w:rFonts w:ascii="Calibri" w:hAnsi="Calibri" w:cs="Calibri"/>
          <w:sz w:val="18"/>
          <w:szCs w:val="20"/>
          <w:lang w:val="en-US"/>
        </w:rPr>
        <w:t>. 2006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 xml:space="preserve">46(9):1471-7. DOI: </w:t>
      </w:r>
      <w:hyperlink r:id="rId41" w:history="1">
        <w:r w:rsidRPr="00217893">
          <w:rPr>
            <w:rStyle w:val="Hyperlink"/>
            <w:rFonts w:ascii="Calibri" w:hAnsi="Calibri" w:cs="Calibri"/>
            <w:color w:val="auto"/>
            <w:sz w:val="18"/>
            <w:szCs w:val="20"/>
            <w:u w:val="none"/>
            <w:shd w:val="clear" w:color="auto" w:fill="FFFFFF"/>
            <w:lang w:val="en-US"/>
          </w:rPr>
          <w:t>https://doi.org/10.1111/j.1537-2995.2006.00947.x</w:t>
        </w:r>
      </w:hyperlink>
    </w:p>
    <w:p w14:paraId="7E95B326"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lang w:val="en-US"/>
        </w:rPr>
      </w:pPr>
      <w:r w:rsidRPr="00217893">
        <w:rPr>
          <w:rFonts w:ascii="Calibri" w:eastAsia="Calibri" w:hAnsi="Calibri" w:cs="Calibri"/>
          <w:sz w:val="18"/>
          <w:szCs w:val="20"/>
          <w:lang w:val="en-US"/>
        </w:rPr>
        <w:t xml:space="preserve">Klein AA, Bailey CR, Charlton A, Lawson C, Nimmo AF, Payne S, et al. Association of </w:t>
      </w:r>
      <w:proofErr w:type="spellStart"/>
      <w:r w:rsidRPr="00217893">
        <w:rPr>
          <w:rFonts w:ascii="Calibri" w:eastAsia="Calibri" w:hAnsi="Calibri" w:cs="Calibri"/>
          <w:sz w:val="18"/>
          <w:szCs w:val="20"/>
          <w:lang w:val="en-US"/>
        </w:rPr>
        <w:t>Anaesthetists</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anaesthesia</w:t>
      </w:r>
      <w:proofErr w:type="spellEnd"/>
      <w:r w:rsidRPr="00217893">
        <w:rPr>
          <w:rFonts w:ascii="Calibri" w:eastAsia="Calibri" w:hAnsi="Calibri" w:cs="Calibri"/>
          <w:sz w:val="18"/>
          <w:szCs w:val="20"/>
          <w:lang w:val="en-US"/>
        </w:rPr>
        <w:t xml:space="preserve"> and peri-operative care for Jehovah's Witnesses and patients who refuse blood. </w:t>
      </w:r>
      <w:proofErr w:type="spellStart"/>
      <w:r w:rsidRPr="00217893">
        <w:rPr>
          <w:rFonts w:ascii="Calibri" w:eastAsia="Calibri" w:hAnsi="Calibri" w:cs="Calibri"/>
          <w:sz w:val="18"/>
          <w:szCs w:val="20"/>
          <w:lang w:val="en-US"/>
        </w:rPr>
        <w:t>Anaesthesia</w:t>
      </w:r>
      <w:proofErr w:type="spellEnd"/>
      <w:r w:rsidRPr="00217893">
        <w:rPr>
          <w:rFonts w:ascii="Calibri" w:hAnsi="Calibri" w:cs="Calibri"/>
          <w:sz w:val="18"/>
          <w:szCs w:val="20"/>
          <w:lang w:val="en-US"/>
        </w:rPr>
        <w:t>. 2019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74(1):74-82. DOI: </w:t>
      </w:r>
      <w:hyperlink r:id="rId42" w:history="1">
        <w:r w:rsidRPr="00217893">
          <w:rPr>
            <w:rStyle w:val="Hyperlink"/>
            <w:rFonts w:ascii="Calibri" w:hAnsi="Calibri" w:cs="Calibri"/>
            <w:color w:val="auto"/>
            <w:sz w:val="18"/>
            <w:szCs w:val="20"/>
            <w:u w:val="none"/>
            <w:lang w:val="en-US"/>
          </w:rPr>
          <w:t>https://doi.org/10.1111/anae.14441</w:t>
        </w:r>
      </w:hyperlink>
    </w:p>
    <w:p w14:paraId="5006BA21" w14:textId="7771FA26"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shd w:val="clear" w:color="auto" w:fill="FFFFFF"/>
          <w:lang w:val="en-US"/>
        </w:rPr>
      </w:pPr>
      <w:r w:rsidRPr="00217893">
        <w:rPr>
          <w:rFonts w:ascii="Calibri" w:eastAsia="Calibri" w:hAnsi="Calibri" w:cs="Calibri"/>
          <w:sz w:val="18"/>
          <w:szCs w:val="20"/>
          <w:lang w:val="en-US"/>
        </w:rPr>
        <w:t>Olaussen A, Bade-Boon J, Fitzgerald MC, Mitra B. Management of injured patients who were Jehovah's Witnesses, where blood transfusion may not be an option: a retrospective review. Vox Sang</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2018</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shd w:val="clear" w:color="auto" w:fill="FFFFFF"/>
          <w:lang w:val="en-US"/>
        </w:rPr>
        <w:t xml:space="preserve">]; 113(3):283-9. DOI: </w:t>
      </w:r>
      <w:hyperlink r:id="rId43" w:history="1">
        <w:r w:rsidR="002E053A" w:rsidRPr="00217893">
          <w:rPr>
            <w:rStyle w:val="Hyperlink"/>
            <w:rFonts w:ascii="Calibri" w:hAnsi="Calibri" w:cs="Calibri"/>
            <w:color w:val="auto"/>
            <w:sz w:val="18"/>
            <w:szCs w:val="20"/>
            <w:u w:val="none"/>
            <w:shd w:val="clear" w:color="auto" w:fill="FFFFFF"/>
            <w:lang w:val="en-US"/>
          </w:rPr>
          <w:t>https://doi.org/10.1111/vox.12637</w:t>
        </w:r>
      </w:hyperlink>
      <w:r w:rsidR="002E053A" w:rsidRPr="00217893">
        <w:rPr>
          <w:rStyle w:val="citation-doi"/>
          <w:rFonts w:ascii="Calibri" w:hAnsi="Calibri" w:cs="Calibri"/>
          <w:sz w:val="18"/>
          <w:szCs w:val="20"/>
          <w:shd w:val="clear" w:color="auto" w:fill="FFFFFF"/>
          <w:lang w:val="en-US"/>
        </w:rPr>
        <w:t xml:space="preserve"> </w:t>
      </w:r>
    </w:p>
    <w:p w14:paraId="2D1F719C" w14:textId="05FB05D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Kidson-Gerber G, </w:t>
      </w:r>
      <w:proofErr w:type="spellStart"/>
      <w:r w:rsidRPr="00217893">
        <w:rPr>
          <w:rFonts w:ascii="Calibri" w:eastAsia="Calibri" w:hAnsi="Calibri" w:cs="Calibri"/>
          <w:sz w:val="18"/>
          <w:szCs w:val="20"/>
          <w:lang w:val="en-US"/>
        </w:rPr>
        <w:t>Kerridge</w:t>
      </w:r>
      <w:proofErr w:type="spellEnd"/>
      <w:r w:rsidRPr="00217893">
        <w:rPr>
          <w:rFonts w:ascii="Calibri" w:eastAsia="Calibri" w:hAnsi="Calibri" w:cs="Calibri"/>
          <w:sz w:val="18"/>
          <w:szCs w:val="20"/>
          <w:lang w:val="en-US"/>
        </w:rPr>
        <w:t xml:space="preserve"> I, Farmer S, </w:t>
      </w:r>
      <w:proofErr w:type="spellStart"/>
      <w:r w:rsidRPr="00217893">
        <w:rPr>
          <w:rFonts w:ascii="Calibri" w:eastAsia="Calibri" w:hAnsi="Calibri" w:cs="Calibri"/>
          <w:sz w:val="18"/>
          <w:szCs w:val="20"/>
          <w:lang w:val="en-US"/>
        </w:rPr>
        <w:t>Sterwart</w:t>
      </w:r>
      <w:proofErr w:type="spellEnd"/>
      <w:r w:rsidRPr="00217893">
        <w:rPr>
          <w:rFonts w:ascii="Calibri" w:eastAsia="Calibri" w:hAnsi="Calibri" w:cs="Calibri"/>
          <w:sz w:val="18"/>
          <w:szCs w:val="20"/>
          <w:lang w:val="en-US"/>
        </w:rPr>
        <w:t xml:space="preserve"> CL, Savoia H, Challis D. Caring for pregnant women for whom transfusion is not an option. A national review to assist in patient care. Aust N Z J </w:t>
      </w:r>
      <w:proofErr w:type="spellStart"/>
      <w:r w:rsidRPr="00217893">
        <w:rPr>
          <w:rFonts w:ascii="Calibri" w:eastAsia="Calibri" w:hAnsi="Calibri" w:cs="Calibri"/>
          <w:sz w:val="18"/>
          <w:szCs w:val="20"/>
          <w:lang w:val="en-US"/>
        </w:rPr>
        <w:t>Obstet</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Gynaecol</w:t>
      </w:r>
      <w:proofErr w:type="spellEnd"/>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56(2):127-36. DOI: </w:t>
      </w:r>
      <w:hyperlink r:id="rId44" w:history="1">
        <w:r w:rsidR="002E053A" w:rsidRPr="00217893">
          <w:rPr>
            <w:rStyle w:val="Hyperlink"/>
            <w:rFonts w:ascii="Calibri" w:eastAsia="Calibri" w:hAnsi="Calibri" w:cs="Calibri"/>
            <w:color w:val="auto"/>
            <w:sz w:val="18"/>
            <w:szCs w:val="20"/>
            <w:u w:val="none"/>
            <w:lang w:val="en-US"/>
          </w:rPr>
          <w:t>https://doi.org/10.1111/ajo.12420</w:t>
        </w:r>
      </w:hyperlink>
      <w:r w:rsidR="002E053A" w:rsidRPr="00217893">
        <w:rPr>
          <w:rFonts w:ascii="Calibri" w:eastAsia="Calibri" w:hAnsi="Calibri" w:cs="Calibri"/>
          <w:sz w:val="18"/>
          <w:szCs w:val="20"/>
          <w:lang w:val="en-US"/>
        </w:rPr>
        <w:t xml:space="preserve"> </w:t>
      </w:r>
    </w:p>
    <w:p w14:paraId="2A563D8C" w14:textId="3B6FEA9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lang w:val="en-US"/>
        </w:rPr>
        <w:t>Ringnes</w:t>
      </w:r>
      <w:proofErr w:type="spellEnd"/>
      <w:r w:rsidRPr="00217893">
        <w:rPr>
          <w:rFonts w:ascii="Calibri" w:eastAsia="Calibri" w:hAnsi="Calibri" w:cs="Calibri"/>
          <w:sz w:val="18"/>
          <w:szCs w:val="20"/>
          <w:lang w:val="en-US"/>
        </w:rPr>
        <w:t xml:space="preserve"> HK, Hegstad H. Refusal of medical blood transfusions among Jehovah's Witnesses: emotion regulation of the dissonance of saving and sacrificing life. J </w:t>
      </w:r>
      <w:proofErr w:type="spellStart"/>
      <w:r w:rsidRPr="00217893">
        <w:rPr>
          <w:rFonts w:ascii="Calibri" w:eastAsia="Calibri" w:hAnsi="Calibri" w:cs="Calibri"/>
          <w:sz w:val="18"/>
          <w:szCs w:val="20"/>
          <w:lang w:val="en-US"/>
        </w:rPr>
        <w:t>Relig</w:t>
      </w:r>
      <w:proofErr w:type="spellEnd"/>
      <w:r w:rsidRPr="00217893">
        <w:rPr>
          <w:rFonts w:ascii="Calibri" w:eastAsia="Calibri" w:hAnsi="Calibri" w:cs="Calibri"/>
          <w:sz w:val="18"/>
          <w:szCs w:val="20"/>
          <w:lang w:val="en-US"/>
        </w:rPr>
        <w:t xml:space="preserve"> Health</w:t>
      </w:r>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55(5):1672-87. DOI:</w:t>
      </w:r>
      <w:r w:rsidRPr="00217893">
        <w:rPr>
          <w:rFonts w:ascii="Calibri" w:hAnsi="Calibri" w:cs="Calibri"/>
          <w:sz w:val="18"/>
          <w:szCs w:val="20"/>
          <w:shd w:val="clear" w:color="auto" w:fill="FFFFFF"/>
          <w:lang w:val="en-US"/>
        </w:rPr>
        <w:t xml:space="preserve"> </w:t>
      </w:r>
      <w:hyperlink r:id="rId45" w:history="1">
        <w:r w:rsidR="002E053A" w:rsidRPr="00217893">
          <w:rPr>
            <w:rStyle w:val="Hyperlink"/>
            <w:rFonts w:ascii="Calibri" w:hAnsi="Calibri" w:cs="Calibri"/>
            <w:color w:val="auto"/>
            <w:sz w:val="18"/>
            <w:szCs w:val="20"/>
            <w:u w:val="none"/>
            <w:shd w:val="clear" w:color="auto" w:fill="FCFCFC"/>
            <w:lang w:val="en-US"/>
          </w:rPr>
          <w:t>https://doi.org/10.1007/s10943-016-0236-5</w:t>
        </w:r>
      </w:hyperlink>
      <w:r w:rsidR="002E053A" w:rsidRPr="00217893">
        <w:rPr>
          <w:rFonts w:ascii="Calibri" w:hAnsi="Calibri" w:cs="Calibri"/>
          <w:sz w:val="18"/>
          <w:szCs w:val="20"/>
          <w:shd w:val="clear" w:color="auto" w:fill="FCFCFC"/>
          <w:lang w:val="en-US"/>
        </w:rPr>
        <w:t xml:space="preserve"> </w:t>
      </w:r>
    </w:p>
    <w:p w14:paraId="4983EF76" w14:textId="447DD6F7" w:rsidR="00F86AD5" w:rsidRPr="00217893" w:rsidRDefault="00F86AD5" w:rsidP="00F86AD5">
      <w:pPr>
        <w:pStyle w:val="Ttulo1"/>
        <w:numPr>
          <w:ilvl w:val="0"/>
          <w:numId w:val="34"/>
        </w:numPr>
        <w:shd w:val="clear" w:color="auto" w:fill="FFFFFF"/>
        <w:suppressAutoHyphens w:val="0"/>
        <w:spacing w:before="0" w:line="240" w:lineRule="auto"/>
        <w:ind w:left="284" w:hanging="284"/>
        <w:rPr>
          <w:rFonts w:ascii="Calibri" w:hAnsi="Calibri" w:cs="Calibri"/>
          <w:color w:val="auto"/>
          <w:sz w:val="18"/>
          <w:szCs w:val="20"/>
        </w:rPr>
      </w:pPr>
      <w:proofErr w:type="spellStart"/>
      <w:r w:rsidRPr="00217893">
        <w:rPr>
          <w:rStyle w:val="citation-doi"/>
          <w:rFonts w:ascii="Calibri" w:hAnsi="Calibri" w:cs="Calibri"/>
          <w:color w:val="auto"/>
          <w:sz w:val="18"/>
          <w:szCs w:val="20"/>
          <w:shd w:val="clear" w:color="auto" w:fill="FFFFFF"/>
        </w:rPr>
        <w:lastRenderedPageBreak/>
        <w:t>Hogervorst</w:t>
      </w:r>
      <w:proofErr w:type="spellEnd"/>
      <w:r w:rsidRPr="00217893">
        <w:rPr>
          <w:rStyle w:val="citation-doi"/>
          <w:rFonts w:ascii="Calibri" w:hAnsi="Calibri" w:cs="Calibri"/>
          <w:color w:val="auto"/>
          <w:sz w:val="18"/>
          <w:szCs w:val="20"/>
          <w:shd w:val="clear" w:color="auto" w:fill="FFFFFF"/>
        </w:rPr>
        <w:t xml:space="preserve"> EK, Rosseel PM, van de Watering LM, Brand A, </w:t>
      </w:r>
      <w:proofErr w:type="spellStart"/>
      <w:r w:rsidRPr="00217893">
        <w:rPr>
          <w:rStyle w:val="citation-doi"/>
          <w:rFonts w:ascii="Calibri" w:hAnsi="Calibri" w:cs="Calibri"/>
          <w:color w:val="auto"/>
          <w:sz w:val="18"/>
          <w:szCs w:val="20"/>
          <w:shd w:val="clear" w:color="auto" w:fill="FFFFFF"/>
        </w:rPr>
        <w:t>Bentala</w:t>
      </w:r>
      <w:proofErr w:type="spellEnd"/>
      <w:r w:rsidRPr="00217893">
        <w:rPr>
          <w:rStyle w:val="citation-doi"/>
          <w:rFonts w:ascii="Calibri" w:hAnsi="Calibri" w:cs="Calibri"/>
          <w:color w:val="auto"/>
          <w:sz w:val="18"/>
          <w:szCs w:val="20"/>
          <w:shd w:val="clear" w:color="auto" w:fill="FFFFFF"/>
        </w:rPr>
        <w:t xml:space="preserve"> M, van der Bom JG, et al. </w:t>
      </w:r>
      <w:r w:rsidRPr="00217893">
        <w:rPr>
          <w:rFonts w:ascii="Calibri" w:hAnsi="Calibri" w:cs="Calibri"/>
          <w:color w:val="auto"/>
          <w:sz w:val="18"/>
          <w:szCs w:val="20"/>
        </w:rPr>
        <w:t xml:space="preserve">Intraoperative anemia and single red blood cell transfusion during cardiac surgery: an assessment of postoperative outcome including patients refusing blood transfusion. J </w:t>
      </w:r>
      <w:proofErr w:type="spellStart"/>
      <w:r w:rsidRPr="00217893">
        <w:rPr>
          <w:rFonts w:ascii="Calibri" w:hAnsi="Calibri" w:cs="Calibri"/>
          <w:color w:val="auto"/>
          <w:sz w:val="18"/>
          <w:szCs w:val="20"/>
        </w:rPr>
        <w:t>Cardiothorac</w:t>
      </w:r>
      <w:proofErr w:type="spellEnd"/>
      <w:r w:rsidRPr="00217893">
        <w:rPr>
          <w:rFonts w:ascii="Calibri" w:hAnsi="Calibri" w:cs="Calibri"/>
          <w:color w:val="auto"/>
          <w:sz w:val="18"/>
          <w:szCs w:val="20"/>
        </w:rPr>
        <w:t xml:space="preserve"> </w:t>
      </w:r>
      <w:proofErr w:type="spellStart"/>
      <w:r w:rsidRPr="00217893">
        <w:rPr>
          <w:rFonts w:ascii="Calibri" w:hAnsi="Calibri" w:cs="Calibri"/>
          <w:color w:val="auto"/>
          <w:sz w:val="18"/>
          <w:szCs w:val="20"/>
        </w:rPr>
        <w:t>Vasc</w:t>
      </w:r>
      <w:proofErr w:type="spellEnd"/>
      <w:r w:rsidRPr="00217893">
        <w:rPr>
          <w:rFonts w:ascii="Calibri" w:hAnsi="Calibri" w:cs="Calibri"/>
          <w:color w:val="auto"/>
          <w:sz w:val="18"/>
          <w:szCs w:val="20"/>
        </w:rPr>
        <w:t xml:space="preserve"> </w:t>
      </w:r>
      <w:proofErr w:type="spellStart"/>
      <w:r w:rsidRPr="00217893">
        <w:rPr>
          <w:rFonts w:ascii="Calibri" w:hAnsi="Calibri" w:cs="Calibri"/>
          <w:color w:val="auto"/>
          <w:sz w:val="18"/>
          <w:szCs w:val="20"/>
        </w:rPr>
        <w:t>Anesth</w:t>
      </w:r>
      <w:proofErr w:type="spellEnd"/>
      <w:r w:rsidRPr="00217893">
        <w:rPr>
          <w:rFonts w:ascii="Calibri" w:hAnsi="Calibri" w:cs="Calibri"/>
          <w:color w:val="auto"/>
          <w:sz w:val="18"/>
          <w:szCs w:val="20"/>
        </w:rPr>
        <w:t xml:space="preserve">. 2016 [cited 2022 Jul 4]; 30(2):363-72. DOI: </w:t>
      </w:r>
      <w:hyperlink r:id="rId46" w:history="1">
        <w:r w:rsidR="002E053A" w:rsidRPr="00217893">
          <w:rPr>
            <w:rStyle w:val="Hyperlink"/>
            <w:rFonts w:ascii="Calibri" w:hAnsi="Calibri" w:cs="Calibri"/>
            <w:color w:val="auto"/>
            <w:sz w:val="18"/>
            <w:szCs w:val="20"/>
            <w:u w:val="none"/>
          </w:rPr>
          <w:t>https://doi.org/10.1053/j.jvca.2015.10.021</w:t>
        </w:r>
      </w:hyperlink>
      <w:r w:rsidR="002E053A" w:rsidRPr="00217893">
        <w:rPr>
          <w:rFonts w:ascii="Calibri" w:hAnsi="Calibri" w:cs="Calibri"/>
          <w:color w:val="auto"/>
          <w:sz w:val="18"/>
          <w:szCs w:val="20"/>
        </w:rPr>
        <w:t xml:space="preserve"> </w:t>
      </w:r>
    </w:p>
    <w:p w14:paraId="65866645" w14:textId="7645D1F2"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lang w:val="es-ES"/>
        </w:rPr>
        <w:t>Belaouchi</w:t>
      </w:r>
      <w:proofErr w:type="spellEnd"/>
      <w:r w:rsidRPr="00217893">
        <w:rPr>
          <w:rFonts w:ascii="Calibri" w:eastAsia="Calibri" w:hAnsi="Calibri" w:cs="Calibri"/>
          <w:sz w:val="18"/>
          <w:szCs w:val="20"/>
          <w:lang w:val="es-ES"/>
        </w:rPr>
        <w:t xml:space="preserve"> M, Romero E, </w:t>
      </w:r>
      <w:proofErr w:type="spellStart"/>
      <w:r w:rsidRPr="00217893">
        <w:rPr>
          <w:rFonts w:ascii="Calibri" w:eastAsia="Calibri" w:hAnsi="Calibri" w:cs="Calibri"/>
          <w:sz w:val="18"/>
          <w:szCs w:val="20"/>
          <w:lang w:val="es-ES"/>
        </w:rPr>
        <w:t>Mazzinari</w:t>
      </w:r>
      <w:proofErr w:type="spellEnd"/>
      <w:r w:rsidRPr="00217893">
        <w:rPr>
          <w:rFonts w:ascii="Calibri" w:eastAsia="Calibri" w:hAnsi="Calibri" w:cs="Calibri"/>
          <w:sz w:val="18"/>
          <w:szCs w:val="20"/>
          <w:lang w:val="es-ES"/>
        </w:rPr>
        <w:t xml:space="preserve"> G, Esparza M, García-</w:t>
      </w:r>
      <w:proofErr w:type="spellStart"/>
      <w:r w:rsidRPr="00217893">
        <w:rPr>
          <w:rFonts w:ascii="Calibri" w:eastAsia="Calibri" w:hAnsi="Calibri" w:cs="Calibri"/>
          <w:sz w:val="18"/>
          <w:szCs w:val="20"/>
          <w:lang w:val="es-ES"/>
        </w:rPr>
        <w:t>Cebrían</w:t>
      </w:r>
      <w:proofErr w:type="spellEnd"/>
      <w:r w:rsidRPr="00217893">
        <w:rPr>
          <w:rFonts w:ascii="Calibri" w:eastAsia="Calibri" w:hAnsi="Calibri" w:cs="Calibri"/>
          <w:sz w:val="18"/>
          <w:szCs w:val="20"/>
          <w:lang w:val="es-ES"/>
        </w:rPr>
        <w:t xml:space="preserve"> C, Gil F, et al. </w:t>
      </w:r>
      <w:r w:rsidRPr="00217893">
        <w:rPr>
          <w:rFonts w:ascii="Calibri" w:eastAsia="Calibri" w:hAnsi="Calibri" w:cs="Calibri"/>
          <w:sz w:val="18"/>
          <w:szCs w:val="20"/>
          <w:lang w:val="en-US"/>
        </w:rPr>
        <w:t xml:space="preserve">Management of massive bleeding in a Jehovah's Witness obstetric patient: the overwhelming importance of a pre-established multidisciplinary protocol. Blood </w:t>
      </w:r>
      <w:proofErr w:type="spellStart"/>
      <w:r w:rsidRPr="00217893">
        <w:rPr>
          <w:rFonts w:ascii="Calibri" w:eastAsia="Calibri" w:hAnsi="Calibri" w:cs="Calibri"/>
          <w:sz w:val="18"/>
          <w:szCs w:val="20"/>
          <w:lang w:val="en-US"/>
        </w:rPr>
        <w:t>Transfus</w:t>
      </w:r>
      <w:proofErr w:type="spellEnd"/>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Style w:val="fm-vol-iss-date"/>
          <w:rFonts w:ascii="Calibri" w:hAnsi="Calibri" w:cs="Calibri"/>
          <w:sz w:val="18"/>
          <w:szCs w:val="20"/>
          <w:shd w:val="clear" w:color="auto" w:fill="FFFFFF"/>
          <w:lang w:val="en-US"/>
        </w:rPr>
        <w:t>;</w:t>
      </w:r>
      <w:r w:rsidRPr="00217893">
        <w:rPr>
          <w:rFonts w:ascii="Calibri" w:eastAsia="Calibri" w:hAnsi="Calibri" w:cs="Calibri"/>
          <w:sz w:val="18"/>
          <w:szCs w:val="20"/>
          <w:lang w:val="en-US"/>
        </w:rPr>
        <w:t xml:space="preserve"> 14(6):541-4. DOI: </w:t>
      </w:r>
      <w:hyperlink r:id="rId47" w:history="1">
        <w:r w:rsidR="002E053A" w:rsidRPr="00217893">
          <w:rPr>
            <w:rStyle w:val="Hyperlink"/>
            <w:rFonts w:ascii="Calibri" w:hAnsi="Calibri" w:cs="Calibri"/>
            <w:color w:val="auto"/>
            <w:sz w:val="18"/>
            <w:szCs w:val="20"/>
            <w:u w:val="none"/>
            <w:lang w:val="en-US"/>
          </w:rPr>
          <w:t>https://doi.org/10.2450/2016.0229-15</w:t>
        </w:r>
      </w:hyperlink>
      <w:r w:rsidR="002E053A" w:rsidRPr="00217893">
        <w:rPr>
          <w:rStyle w:val="Hyperlink"/>
          <w:rFonts w:ascii="Calibri" w:hAnsi="Calibri" w:cs="Calibri"/>
          <w:color w:val="auto"/>
          <w:sz w:val="18"/>
          <w:szCs w:val="20"/>
          <w:u w:val="none"/>
          <w:lang w:val="en-US"/>
        </w:rPr>
        <w:t xml:space="preserve"> </w:t>
      </w:r>
    </w:p>
    <w:p w14:paraId="700E4E30" w14:textId="64DBE11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Wong DS. Blood transfusion and Jehovah’s Witnesses revisited: implications for surgeons.</w:t>
      </w:r>
      <w:r w:rsidRPr="00217893">
        <w:rPr>
          <w:rFonts w:ascii="Calibri" w:hAnsi="Calibri" w:cs="Calibri"/>
          <w:sz w:val="18"/>
          <w:szCs w:val="20"/>
          <w:lang w:val="en-US"/>
        </w:rPr>
        <w:t xml:space="preserve"> Surgical Practice. 2012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16:128-32. DOI: </w:t>
      </w:r>
      <w:hyperlink r:id="rId48" w:history="1">
        <w:r w:rsidR="002E053A" w:rsidRPr="00217893">
          <w:rPr>
            <w:rStyle w:val="Hyperlink"/>
            <w:rFonts w:ascii="Calibri" w:eastAsia="Calibri" w:hAnsi="Calibri" w:cs="Calibri"/>
            <w:color w:val="auto"/>
            <w:sz w:val="18"/>
            <w:szCs w:val="20"/>
            <w:u w:val="none"/>
            <w:lang w:val="en-US"/>
          </w:rPr>
          <w:t>https://doi:10.1111/j.1744-1633.2012.00612.x</w:t>
        </w:r>
      </w:hyperlink>
      <w:r w:rsidR="002E053A" w:rsidRPr="00217893">
        <w:rPr>
          <w:rFonts w:ascii="Calibri" w:eastAsia="Calibri" w:hAnsi="Calibri" w:cs="Calibri"/>
          <w:sz w:val="18"/>
          <w:szCs w:val="20"/>
          <w:lang w:val="en-US"/>
        </w:rPr>
        <w:t xml:space="preserve"> </w:t>
      </w:r>
    </w:p>
    <w:p w14:paraId="6FDA8191"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Ohto H, Yonemura Y, Takeda J, Inada E, Hanada R, Hayakawa S, et al. Guidelines for managing conscientious objection to blood transfusion. </w:t>
      </w:r>
      <w:proofErr w:type="spellStart"/>
      <w:r w:rsidRPr="00217893">
        <w:rPr>
          <w:rFonts w:ascii="Calibri" w:eastAsia="Calibri" w:hAnsi="Calibri" w:cs="Calibri"/>
          <w:sz w:val="18"/>
          <w:szCs w:val="20"/>
          <w:lang w:val="en-US"/>
        </w:rPr>
        <w:t>Transfus</w:t>
      </w:r>
      <w:proofErr w:type="spellEnd"/>
      <w:r w:rsidRPr="00217893">
        <w:rPr>
          <w:rFonts w:ascii="Calibri" w:eastAsia="Calibri" w:hAnsi="Calibri" w:cs="Calibri"/>
          <w:sz w:val="18"/>
          <w:szCs w:val="20"/>
          <w:lang w:val="en-US"/>
        </w:rPr>
        <w:t xml:space="preserve"> Med Rev.</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2009</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23(3):221-8. DOI: </w:t>
      </w:r>
      <w:hyperlink r:id="rId49" w:tgtFrame="_blank" w:tooltip="Persistent link using digital object identifier" w:history="1">
        <w:r w:rsidRPr="00217893">
          <w:rPr>
            <w:rStyle w:val="Hyperlink"/>
            <w:rFonts w:ascii="Calibri" w:hAnsi="Calibri" w:cs="Calibri"/>
            <w:color w:val="auto"/>
            <w:sz w:val="18"/>
            <w:szCs w:val="20"/>
            <w:u w:val="none"/>
            <w:lang w:val="en-US"/>
          </w:rPr>
          <w:t>https://doi.org/10.1016/j.tmrv.2009.03.004</w:t>
        </w:r>
      </w:hyperlink>
    </w:p>
    <w:p w14:paraId="2CA99AE0" w14:textId="1AA9CCF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Ferrer AP, </w:t>
      </w:r>
      <w:proofErr w:type="spellStart"/>
      <w:r w:rsidRPr="00217893">
        <w:rPr>
          <w:rFonts w:ascii="Calibri" w:eastAsia="Calibri" w:hAnsi="Calibri" w:cs="Calibri"/>
          <w:sz w:val="18"/>
          <w:szCs w:val="20"/>
        </w:rPr>
        <w:t>Gredilla</w:t>
      </w:r>
      <w:proofErr w:type="spellEnd"/>
      <w:r w:rsidRPr="00217893">
        <w:rPr>
          <w:rFonts w:ascii="Calibri" w:eastAsia="Calibri" w:hAnsi="Calibri" w:cs="Calibri"/>
          <w:sz w:val="18"/>
          <w:szCs w:val="20"/>
        </w:rPr>
        <w:t xml:space="preserve"> E, de Vicente J, Fernández JG, Barbero FR. </w:t>
      </w:r>
      <w:r w:rsidRPr="00217893">
        <w:rPr>
          <w:rFonts w:ascii="Calibri" w:eastAsia="Calibri" w:hAnsi="Calibri" w:cs="Calibri"/>
          <w:sz w:val="18"/>
          <w:szCs w:val="20"/>
          <w:lang w:val="en-US"/>
        </w:rPr>
        <w:t xml:space="preserve">Jehovah's Witnesses refusal of blood: religious, legal and ethical aspects and considerations for anesthetic management. Rev </w:t>
      </w:r>
      <w:proofErr w:type="spellStart"/>
      <w:r w:rsidRPr="00217893">
        <w:rPr>
          <w:rFonts w:ascii="Calibri" w:eastAsia="Calibri" w:hAnsi="Calibri" w:cs="Calibri"/>
          <w:sz w:val="18"/>
          <w:szCs w:val="20"/>
          <w:lang w:val="en-US"/>
        </w:rPr>
        <w:t>Esp</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Anestesiol</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Reanim</w:t>
      </w:r>
      <w:proofErr w:type="spellEnd"/>
      <w:r w:rsidRPr="00217893">
        <w:rPr>
          <w:rFonts w:ascii="Calibri" w:hAnsi="Calibri" w:cs="Calibri"/>
          <w:sz w:val="18"/>
          <w:szCs w:val="20"/>
          <w:lang w:val="en-US"/>
        </w:rPr>
        <w:t>. 2006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53(1):31-41. </w:t>
      </w:r>
      <w:r w:rsidRPr="00217893">
        <w:rPr>
          <w:rFonts w:ascii="Calibri" w:hAnsi="Calibri" w:cs="Calibri"/>
          <w:sz w:val="18"/>
          <w:szCs w:val="20"/>
          <w:shd w:val="clear" w:color="auto" w:fill="FFFFFF"/>
          <w:lang w:val="en-US"/>
        </w:rPr>
        <w:t xml:space="preserve">Available from: </w:t>
      </w:r>
      <w:hyperlink r:id="rId50" w:history="1">
        <w:r w:rsidR="002E053A" w:rsidRPr="00217893">
          <w:rPr>
            <w:rStyle w:val="Hyperlink"/>
            <w:rFonts w:ascii="Calibri" w:eastAsia="Calibri" w:hAnsi="Calibri" w:cs="Calibri"/>
            <w:color w:val="auto"/>
            <w:sz w:val="18"/>
            <w:szCs w:val="20"/>
            <w:u w:val="none"/>
            <w:lang w:val="en-US"/>
          </w:rPr>
          <w:t>https://pesquisa.bvsalud.org/portal/resource/pt/ibc-043888</w:t>
        </w:r>
      </w:hyperlink>
      <w:r w:rsidR="002E053A" w:rsidRPr="00217893">
        <w:rPr>
          <w:rFonts w:ascii="Calibri" w:eastAsia="Calibri" w:hAnsi="Calibri" w:cs="Calibri"/>
          <w:sz w:val="18"/>
          <w:szCs w:val="20"/>
          <w:lang w:val="en-US"/>
        </w:rPr>
        <w:t xml:space="preserve"> </w:t>
      </w:r>
    </w:p>
    <w:p w14:paraId="714229AC" w14:textId="50987AAB" w:rsidR="00CA748C"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proofErr w:type="spellStart"/>
      <w:r w:rsidRPr="00217893">
        <w:rPr>
          <w:rFonts w:ascii="Calibri" w:eastAsia="Calibri" w:hAnsi="Calibri" w:cs="Calibri"/>
          <w:sz w:val="18"/>
          <w:szCs w:val="20"/>
          <w:lang w:val="en-US"/>
        </w:rPr>
        <w:t>Nebril</w:t>
      </w:r>
      <w:proofErr w:type="spellEnd"/>
      <w:r w:rsidRPr="00217893">
        <w:rPr>
          <w:rFonts w:ascii="Calibri" w:eastAsia="Calibri" w:hAnsi="Calibri" w:cs="Calibri"/>
          <w:sz w:val="18"/>
          <w:szCs w:val="20"/>
          <w:lang w:val="en-US"/>
        </w:rPr>
        <w:t xml:space="preserve"> BA, Martínez AR, Gauna NM, Infante AC. Evaluation of a guideline for </w:t>
      </w:r>
      <w:proofErr w:type="spellStart"/>
      <w:r w:rsidRPr="00217893">
        <w:rPr>
          <w:rFonts w:ascii="Calibri" w:eastAsia="Calibri" w:hAnsi="Calibri" w:cs="Calibri"/>
          <w:sz w:val="18"/>
          <w:szCs w:val="20"/>
          <w:lang w:val="en-US"/>
        </w:rPr>
        <w:t>Jehova's</w:t>
      </w:r>
      <w:proofErr w:type="spellEnd"/>
      <w:r w:rsidRPr="00217893">
        <w:rPr>
          <w:rFonts w:ascii="Calibri" w:eastAsia="Calibri" w:hAnsi="Calibri" w:cs="Calibri"/>
          <w:sz w:val="18"/>
          <w:szCs w:val="20"/>
          <w:lang w:val="en-US"/>
        </w:rPr>
        <w:t xml:space="preserve"> Witnesses in a surgical practice. </w:t>
      </w:r>
      <w:proofErr w:type="spellStart"/>
      <w:r w:rsidRPr="00217893">
        <w:rPr>
          <w:rFonts w:ascii="Calibri" w:eastAsia="Calibri" w:hAnsi="Calibri" w:cs="Calibri"/>
          <w:sz w:val="18"/>
          <w:szCs w:val="20"/>
          <w:lang w:val="en-US"/>
        </w:rPr>
        <w:t>Medicina</w:t>
      </w:r>
      <w:proofErr w:type="spellEnd"/>
      <w:r w:rsidRPr="00217893">
        <w:rPr>
          <w:rFonts w:ascii="Calibri" w:eastAsia="Calibri" w:hAnsi="Calibri" w:cs="Calibri"/>
          <w:sz w:val="18"/>
          <w:szCs w:val="20"/>
          <w:lang w:val="en-US"/>
        </w:rPr>
        <w:t xml:space="preserve"> </w:t>
      </w:r>
      <w:proofErr w:type="spellStart"/>
      <w:r w:rsidRPr="00217893">
        <w:rPr>
          <w:rFonts w:ascii="Calibri" w:eastAsia="Calibri" w:hAnsi="Calibri" w:cs="Calibri"/>
          <w:sz w:val="18"/>
          <w:szCs w:val="20"/>
          <w:lang w:val="en-US"/>
        </w:rPr>
        <w:t>Clínica</w:t>
      </w:r>
      <w:proofErr w:type="spellEnd"/>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2005</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 xml:space="preserve">124(11):435-6. </w:t>
      </w:r>
      <w:r w:rsidRPr="00217893">
        <w:rPr>
          <w:rFonts w:ascii="Calibri" w:hAnsi="Calibri" w:cs="Calibri"/>
          <w:sz w:val="18"/>
          <w:szCs w:val="20"/>
          <w:shd w:val="clear" w:color="auto" w:fill="FFFFFF"/>
          <w:lang w:val="en-US"/>
        </w:rPr>
        <w:t>Available from:</w:t>
      </w:r>
      <w:r w:rsidRPr="00217893">
        <w:rPr>
          <w:rFonts w:ascii="Calibri" w:hAnsi="Calibri" w:cs="Calibri"/>
          <w:sz w:val="18"/>
          <w:szCs w:val="20"/>
          <w:lang w:val="en-US"/>
        </w:rPr>
        <w:t xml:space="preserve"> </w:t>
      </w:r>
      <w:hyperlink r:id="rId51" w:history="1">
        <w:r w:rsidRPr="00217893">
          <w:rPr>
            <w:rStyle w:val="Hyperlink"/>
            <w:rFonts w:ascii="Calibri" w:eastAsia="Calibri" w:hAnsi="Calibri" w:cs="Calibri"/>
            <w:color w:val="auto"/>
            <w:sz w:val="18"/>
            <w:szCs w:val="20"/>
            <w:u w:val="none"/>
            <w:lang w:val="en-US"/>
          </w:rPr>
          <w:t>https://www.researchgate.net/publication/291756503_Evaluation_of_a_guide_for_Jehova's_witnesses_after_its_application_in_it_practice_assistant</w:t>
        </w:r>
      </w:hyperlink>
      <w:bookmarkEnd w:id="4"/>
      <w:r w:rsidR="002E053A" w:rsidRPr="00217893">
        <w:rPr>
          <w:rStyle w:val="Hyperlink"/>
          <w:rFonts w:ascii="Calibri" w:eastAsia="Calibri" w:hAnsi="Calibri" w:cs="Calibri"/>
          <w:color w:val="auto"/>
          <w:sz w:val="18"/>
          <w:szCs w:val="20"/>
          <w:u w:val="none"/>
          <w:lang w:val="en-US"/>
        </w:rPr>
        <w:t xml:space="preserve"> </w:t>
      </w:r>
    </w:p>
    <w:sectPr w:rsidR="00CA748C" w:rsidRPr="00217893" w:rsidSect="00A631CB">
      <w:headerReference w:type="default" r:id="rId52"/>
      <w:pgSz w:w="11906" w:h="16838"/>
      <w:pgMar w:top="1134"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80BA" w14:textId="77777777" w:rsidR="004B3355" w:rsidRDefault="004B3355" w:rsidP="00C250D2">
      <w:pPr>
        <w:spacing w:after="0" w:line="240" w:lineRule="auto"/>
      </w:pPr>
      <w:r>
        <w:separator/>
      </w:r>
    </w:p>
  </w:endnote>
  <w:endnote w:type="continuationSeparator" w:id="0">
    <w:p w14:paraId="51FBBE1A" w14:textId="77777777" w:rsidR="004B3355" w:rsidRDefault="004B3355"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default"/>
  </w:font>
  <w:font w:name="Lucida Sans">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053A" w:rsidRPr="008B3FCD" w14:paraId="60286D92" w14:textId="77777777" w:rsidTr="00314949">
          <w:tc>
            <w:tcPr>
              <w:tcW w:w="4814" w:type="dxa"/>
              <w:tcMar>
                <w:left w:w="0" w:type="dxa"/>
                <w:right w:w="0" w:type="dxa"/>
              </w:tcMar>
            </w:tcPr>
            <w:p w14:paraId="6CC02E83" w14:textId="6A1EC095" w:rsidR="002E053A" w:rsidRDefault="002E053A" w:rsidP="00542D52">
              <w:pPr>
                <w:pStyle w:val="Rodap"/>
                <w:rPr>
                  <w:sz w:val="14"/>
                </w:rPr>
              </w:pPr>
            </w:p>
          </w:tc>
          <w:tc>
            <w:tcPr>
              <w:tcW w:w="4814" w:type="dxa"/>
              <w:tcMar>
                <w:left w:w="0" w:type="dxa"/>
                <w:right w:w="0" w:type="dxa"/>
              </w:tcMar>
            </w:tcPr>
            <w:p w14:paraId="23C53900" w14:textId="2CD7551F" w:rsidR="002E053A" w:rsidRDefault="002E053A"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65</w:t>
              </w:r>
              <w:r>
                <w:rPr>
                  <w:sz w:val="16"/>
                  <w:szCs w:val="14"/>
                </w:rPr>
                <w:t>0</w:t>
              </w:r>
              <w:r w:rsidR="00E26E0F">
                <w:rPr>
                  <w:sz w:val="16"/>
                  <w:szCs w:val="14"/>
                </w:rPr>
                <w:t>6</w:t>
              </w:r>
              <w:r>
                <w:rPr>
                  <w:sz w:val="16"/>
                  <w:szCs w:val="14"/>
                </w:rPr>
                <w:t>3</w:t>
              </w:r>
            </w:p>
          </w:tc>
        </w:tr>
        <w:tr w:rsidR="002E053A" w14:paraId="7D69E3C5" w14:textId="77777777" w:rsidTr="00314949">
          <w:tc>
            <w:tcPr>
              <w:tcW w:w="4814" w:type="dxa"/>
              <w:tcMar>
                <w:left w:w="0" w:type="dxa"/>
                <w:right w:w="0" w:type="dxa"/>
              </w:tcMar>
            </w:tcPr>
            <w:p w14:paraId="0A005934" w14:textId="77777777" w:rsidR="002E053A" w:rsidRPr="006A28CD" w:rsidRDefault="002E053A"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 name="Image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2E053A" w:rsidRPr="00B2448F" w:rsidRDefault="002E053A"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2E053A" w:rsidRPr="00542D52" w:rsidRDefault="002E053A"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053A" w:rsidRPr="008B3FCD" w14:paraId="3117553B" w14:textId="77777777" w:rsidTr="006A28CD">
          <w:tc>
            <w:tcPr>
              <w:tcW w:w="4814" w:type="dxa"/>
              <w:tcMar>
                <w:left w:w="0" w:type="dxa"/>
                <w:right w:w="0" w:type="dxa"/>
              </w:tcMar>
            </w:tcPr>
            <w:p w14:paraId="16BC3BB3" w14:textId="3B5EFE7E" w:rsidR="002E053A" w:rsidRPr="007A36D4" w:rsidRDefault="002E053A" w:rsidP="006A28CD">
              <w:pPr>
                <w:pStyle w:val="Rodap"/>
                <w:rPr>
                  <w:sz w:val="14"/>
                  <w:lang w:val="en-US"/>
                </w:rPr>
              </w:pPr>
              <w:r w:rsidRPr="007A36D4">
                <w:rPr>
                  <w:rFonts w:ascii="Calibri" w:hAnsi="Calibri" w:cs="Calibri"/>
                  <w:sz w:val="14"/>
                  <w:szCs w:val="14"/>
                  <w:lang w:val="en-US"/>
                </w:rPr>
                <w:t>Rece</w:t>
              </w:r>
              <w:r w:rsidR="007A36D4" w:rsidRPr="007A36D4">
                <w:rPr>
                  <w:rFonts w:ascii="Calibri" w:hAnsi="Calibri" w:cs="Calibri"/>
                  <w:sz w:val="14"/>
                  <w:szCs w:val="14"/>
                  <w:lang w:val="en-US"/>
                </w:rPr>
                <w:t>ived</w:t>
              </w:r>
              <w:r w:rsidRPr="007A36D4">
                <w:rPr>
                  <w:rFonts w:ascii="Calibri" w:hAnsi="Calibri" w:cs="Calibri"/>
                  <w:sz w:val="14"/>
                  <w:szCs w:val="14"/>
                  <w:lang w:val="en-US"/>
                </w:rPr>
                <w:t xml:space="preserve">: </w:t>
              </w:r>
              <w:r w:rsidR="007A36D4" w:rsidRPr="007A36D4">
                <w:rPr>
                  <w:rFonts w:ascii="Calibri" w:hAnsi="Calibri" w:cs="Calibri"/>
                  <w:sz w:val="14"/>
                  <w:szCs w:val="14"/>
                  <w:lang w:val="en-US"/>
                </w:rPr>
                <w:t xml:space="preserve">Jan </w:t>
              </w:r>
              <w:r w:rsidRPr="007A36D4">
                <w:rPr>
                  <w:rFonts w:ascii="Calibri" w:hAnsi="Calibri" w:cs="Calibri"/>
                  <w:sz w:val="14"/>
                  <w:szCs w:val="14"/>
                  <w:lang w:val="en-US"/>
                </w:rPr>
                <w:t>31</w:t>
              </w:r>
              <w:r w:rsidR="007A36D4" w:rsidRPr="007A36D4">
                <w:rPr>
                  <w:rFonts w:ascii="Calibri" w:hAnsi="Calibri" w:cs="Calibri"/>
                  <w:sz w:val="14"/>
                  <w:szCs w:val="14"/>
                  <w:vertAlign w:val="superscript"/>
                  <w:lang w:val="en-US"/>
                </w:rPr>
                <w:t>st</w:t>
              </w:r>
              <w:r w:rsidR="007A36D4" w:rsidRPr="007A36D4">
                <w:rPr>
                  <w:rFonts w:ascii="Calibri" w:hAnsi="Calibri" w:cs="Calibri"/>
                  <w:sz w:val="14"/>
                  <w:szCs w:val="14"/>
                  <w:lang w:val="en-US"/>
                </w:rPr>
                <w:t xml:space="preserve"> </w:t>
              </w:r>
              <w:r w:rsidRPr="007A36D4">
                <w:rPr>
                  <w:rFonts w:ascii="Calibri" w:hAnsi="Calibri" w:cs="Calibri"/>
                  <w:sz w:val="14"/>
                  <w:szCs w:val="14"/>
                  <w:lang w:val="en-US"/>
                </w:rPr>
                <w:t xml:space="preserve">2022 – </w:t>
              </w:r>
              <w:proofErr w:type="spellStart"/>
              <w:r w:rsidRPr="007A36D4">
                <w:rPr>
                  <w:rFonts w:ascii="Calibri" w:hAnsi="Calibri" w:cs="Calibri"/>
                  <w:sz w:val="14"/>
                  <w:szCs w:val="14"/>
                  <w:lang w:val="en-US"/>
                </w:rPr>
                <w:t>Aprovado</w:t>
              </w:r>
              <w:proofErr w:type="spellEnd"/>
              <w:r w:rsidRPr="007A36D4">
                <w:rPr>
                  <w:rFonts w:ascii="Calibri" w:hAnsi="Calibri" w:cs="Calibri"/>
                  <w:sz w:val="14"/>
                  <w:szCs w:val="14"/>
                  <w:lang w:val="en-US"/>
                </w:rPr>
                <w:t xml:space="preserve"> </w:t>
              </w:r>
              <w:proofErr w:type="spellStart"/>
              <w:r w:rsidRPr="007A36D4">
                <w:rPr>
                  <w:rFonts w:ascii="Calibri" w:hAnsi="Calibri" w:cs="Calibri"/>
                  <w:sz w:val="14"/>
                  <w:szCs w:val="14"/>
                  <w:lang w:val="en-US"/>
                </w:rPr>
                <w:t>em</w:t>
              </w:r>
              <w:proofErr w:type="spellEnd"/>
              <w:r w:rsidRPr="007A36D4">
                <w:rPr>
                  <w:rFonts w:ascii="Calibri" w:hAnsi="Calibri" w:cs="Calibri"/>
                  <w:sz w:val="14"/>
                  <w:szCs w:val="14"/>
                  <w:lang w:val="en-US"/>
                </w:rPr>
                <w:t xml:space="preserve">: </w:t>
              </w:r>
              <w:r w:rsidR="007A36D4">
                <w:rPr>
                  <w:rFonts w:ascii="Calibri" w:hAnsi="Calibri" w:cs="Calibri"/>
                  <w:sz w:val="14"/>
                  <w:szCs w:val="14"/>
                  <w:lang w:val="en-US"/>
                </w:rPr>
                <w:t xml:space="preserve">Jun </w:t>
              </w:r>
              <w:r w:rsidRPr="007A36D4">
                <w:rPr>
                  <w:rFonts w:ascii="Calibri" w:hAnsi="Calibri" w:cs="Calibri"/>
                  <w:sz w:val="14"/>
                  <w:szCs w:val="14"/>
                  <w:lang w:val="en-US"/>
                </w:rPr>
                <w:t>23</w:t>
              </w:r>
              <w:r w:rsidR="007A36D4" w:rsidRPr="007A36D4">
                <w:rPr>
                  <w:rFonts w:ascii="Calibri" w:hAnsi="Calibri" w:cs="Calibri"/>
                  <w:sz w:val="14"/>
                  <w:szCs w:val="14"/>
                  <w:vertAlign w:val="superscript"/>
                  <w:lang w:val="en-US"/>
                </w:rPr>
                <w:t>rd</w:t>
              </w:r>
              <w:r w:rsidR="007A36D4">
                <w:rPr>
                  <w:rFonts w:ascii="Calibri" w:hAnsi="Calibri" w:cs="Calibri"/>
                  <w:sz w:val="14"/>
                  <w:szCs w:val="14"/>
                  <w:lang w:val="en-US"/>
                </w:rPr>
                <w:t xml:space="preserve"> 2</w:t>
              </w:r>
              <w:r w:rsidRPr="007A36D4">
                <w:rPr>
                  <w:rFonts w:ascii="Calibri" w:hAnsi="Calibri" w:cs="Calibri"/>
                  <w:sz w:val="14"/>
                  <w:szCs w:val="14"/>
                  <w:lang w:val="en-US"/>
                </w:rPr>
                <w:t>022</w:t>
              </w:r>
            </w:p>
          </w:tc>
          <w:tc>
            <w:tcPr>
              <w:tcW w:w="4814" w:type="dxa"/>
              <w:tcMar>
                <w:left w:w="0" w:type="dxa"/>
                <w:right w:w="0" w:type="dxa"/>
              </w:tcMar>
            </w:tcPr>
            <w:p w14:paraId="4E4B12A6" w14:textId="72145B29" w:rsidR="002E053A" w:rsidRDefault="002E053A">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65</w:t>
              </w:r>
              <w:r>
                <w:rPr>
                  <w:sz w:val="16"/>
                  <w:szCs w:val="14"/>
                </w:rPr>
                <w:t>0</w:t>
              </w:r>
              <w:r w:rsidR="00E26E0F">
                <w:rPr>
                  <w:sz w:val="16"/>
                  <w:szCs w:val="14"/>
                </w:rPr>
                <w:t>6</w:t>
              </w:r>
              <w:r>
                <w:rPr>
                  <w:sz w:val="16"/>
                  <w:szCs w:val="14"/>
                </w:rPr>
                <w:t>3</w:t>
              </w:r>
            </w:p>
          </w:tc>
        </w:tr>
        <w:tr w:rsidR="002E053A" w14:paraId="7DD7E00F" w14:textId="77777777" w:rsidTr="006A28CD">
          <w:tc>
            <w:tcPr>
              <w:tcW w:w="4814" w:type="dxa"/>
              <w:tcMar>
                <w:left w:w="0" w:type="dxa"/>
                <w:right w:w="0" w:type="dxa"/>
              </w:tcMar>
            </w:tcPr>
            <w:p w14:paraId="18A28AD9" w14:textId="08352C5D" w:rsidR="002E053A" w:rsidRPr="006A28CD" w:rsidRDefault="002E053A"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2E053A" w:rsidRPr="00B2448F" w:rsidRDefault="002E053A">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2E053A" w:rsidRPr="00542D52" w:rsidRDefault="002E053A"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AE47" w14:textId="77777777" w:rsidR="004B3355" w:rsidRDefault="004B3355" w:rsidP="00C250D2">
      <w:pPr>
        <w:spacing w:after="0" w:line="240" w:lineRule="auto"/>
      </w:pPr>
      <w:r>
        <w:separator/>
      </w:r>
    </w:p>
  </w:footnote>
  <w:footnote w:type="continuationSeparator" w:id="0">
    <w:p w14:paraId="1588482D" w14:textId="77777777" w:rsidR="004B3355" w:rsidRDefault="004B3355"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631" w14:textId="77777777" w:rsidR="002E053A" w:rsidRDefault="002E053A">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2E053A" w:rsidRPr="008B3FCD" w14:paraId="0EA988F3" w14:textId="77777777" w:rsidTr="00A17055">
      <w:tc>
        <w:tcPr>
          <w:tcW w:w="851" w:type="dxa"/>
        </w:tcPr>
        <w:p w14:paraId="52A4D065" w14:textId="77777777" w:rsidR="002E053A" w:rsidRDefault="002E053A"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2E053A" w:rsidRDefault="002E053A"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2E053A" w:rsidRDefault="002E053A"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2E053A" w:rsidRPr="004307F4" w:rsidRDefault="002E053A"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55DB1D83" w14:textId="77777777" w:rsidR="002E053A" w:rsidRPr="000E57ED" w:rsidRDefault="002E053A" w:rsidP="000E57ED">
          <w:pPr>
            <w:pStyle w:val="Default"/>
            <w:spacing w:line="276" w:lineRule="auto"/>
            <w:jc w:val="right"/>
            <w:rPr>
              <w:rFonts w:ascii="Calibri" w:hAnsi="Calibri" w:cs="Calibri"/>
              <w:color w:val="auto"/>
              <w:sz w:val="14"/>
              <w:szCs w:val="14"/>
              <w:lang w:val="pt-BR"/>
            </w:rPr>
          </w:pPr>
          <w:r w:rsidRPr="000E57ED">
            <w:rPr>
              <w:rFonts w:ascii="Calibri" w:eastAsia="Times New Roman" w:hAnsi="Calibri" w:cs="Calibri"/>
              <w:color w:val="auto"/>
              <w:sz w:val="14"/>
              <w:szCs w:val="14"/>
              <w:lang w:val="pt-BR"/>
            </w:rPr>
            <w:t xml:space="preserve">Ferreira DO, </w:t>
          </w:r>
          <w:proofErr w:type="spellStart"/>
          <w:r w:rsidRPr="000E57ED">
            <w:rPr>
              <w:rFonts w:ascii="Calibri" w:eastAsia="Times New Roman" w:hAnsi="Calibri" w:cs="Calibri"/>
              <w:color w:val="auto"/>
              <w:sz w:val="14"/>
              <w:szCs w:val="14"/>
              <w:lang w:val="pt-BR"/>
            </w:rPr>
            <w:t>Komori</w:t>
          </w:r>
          <w:proofErr w:type="spellEnd"/>
          <w:r w:rsidRPr="000E57ED">
            <w:rPr>
              <w:rFonts w:ascii="Calibri" w:eastAsia="Times New Roman" w:hAnsi="Calibri" w:cs="Calibri"/>
              <w:color w:val="auto"/>
              <w:sz w:val="14"/>
              <w:szCs w:val="14"/>
              <w:lang w:val="pt-BR"/>
            </w:rPr>
            <w:t xml:space="preserve"> NM, Lima FR, Parreira BDM, </w:t>
          </w:r>
          <w:proofErr w:type="spellStart"/>
          <w:r w:rsidRPr="000E57ED">
            <w:rPr>
              <w:rFonts w:ascii="Calibri" w:eastAsia="Times New Roman" w:hAnsi="Calibri" w:cs="Calibri"/>
              <w:color w:val="auto"/>
              <w:sz w:val="14"/>
              <w:szCs w:val="14"/>
              <w:lang w:val="pt-BR"/>
            </w:rPr>
            <w:t>Nicolussi</w:t>
          </w:r>
          <w:proofErr w:type="spellEnd"/>
          <w:r w:rsidRPr="000E57ED">
            <w:rPr>
              <w:rFonts w:ascii="Calibri" w:eastAsia="Times New Roman" w:hAnsi="Calibri" w:cs="Calibri"/>
              <w:color w:val="auto"/>
              <w:sz w:val="14"/>
              <w:szCs w:val="14"/>
              <w:lang w:val="pt-BR"/>
            </w:rPr>
            <w:t xml:space="preserve"> AC, Goulart BF</w:t>
          </w:r>
        </w:p>
        <w:p w14:paraId="52081A28" w14:textId="77777777" w:rsidR="002E053A" w:rsidRPr="000E57ED" w:rsidRDefault="002E053A" w:rsidP="000E57E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0E57ED">
            <w:rPr>
              <w:rFonts w:ascii="Calibri" w:hAnsi="Calibri" w:cs="Calibri"/>
              <w:sz w:val="14"/>
              <w:szCs w:val="14"/>
              <w:lang w:val="pt-BR"/>
            </w:rPr>
            <w:t>Comunicação entre profissionais e familiares</w:t>
          </w:r>
        </w:p>
        <w:p w14:paraId="740AAEDA" w14:textId="1BE05C21" w:rsidR="002E053A" w:rsidRDefault="002E053A" w:rsidP="000E57ED">
          <w:pPr>
            <w:tabs>
              <w:tab w:val="left" w:pos="284"/>
            </w:tabs>
            <w:autoSpaceDE w:val="0"/>
            <w:autoSpaceDN w:val="0"/>
            <w:adjustRightInd w:val="0"/>
            <w:jc w:val="right"/>
            <w:textAlignment w:val="center"/>
            <w:rPr>
              <w:rFonts w:ascii="Calibri" w:hAnsi="Calibri" w:cs="Calibri"/>
              <w:color w:val="000000"/>
              <w:sz w:val="14"/>
              <w:szCs w:val="14"/>
              <w:lang w:val="pt-PT"/>
            </w:rPr>
          </w:pPr>
          <w:r w:rsidRPr="000E57ED">
            <w:rPr>
              <w:rFonts w:ascii="Calibri" w:hAnsi="Calibri" w:cs="Calibri"/>
              <w:sz w:val="14"/>
              <w:szCs w:val="16"/>
              <w:lang w:val="pt-BR"/>
            </w:rPr>
            <w:t xml:space="preserve">DOI: </w:t>
          </w:r>
          <w:r w:rsidR="00000000">
            <w:fldChar w:fldCharType="begin"/>
          </w:r>
          <w:r w:rsidR="00000000" w:rsidRPr="008B3FCD">
            <w:rPr>
              <w:lang w:val="pt-BR"/>
            </w:rPr>
            <w:instrText xml:space="preserve"> HYPERLINK "http://dx.doi.org/10.12957/reuerj.2022.60868" </w:instrText>
          </w:r>
          <w:r w:rsidR="00000000">
            <w:fldChar w:fldCharType="separate"/>
          </w:r>
          <w:r w:rsidRPr="000E57ED">
            <w:rPr>
              <w:rStyle w:val="Hyperlink"/>
              <w:rFonts w:ascii="Calibri" w:hAnsi="Calibri" w:cs="Calibri"/>
              <w:color w:val="auto"/>
              <w:sz w:val="14"/>
              <w:szCs w:val="16"/>
              <w:u w:val="none"/>
              <w:lang w:val="pt-BR"/>
            </w:rPr>
            <w:t>http://dx.doi.org/10.12957/reuerj.2022.60868</w:t>
          </w:r>
          <w:r w:rsidR="00000000">
            <w:rPr>
              <w:rStyle w:val="Hyperlink"/>
              <w:rFonts w:ascii="Calibri" w:hAnsi="Calibri" w:cs="Calibri"/>
              <w:color w:val="auto"/>
              <w:sz w:val="14"/>
              <w:szCs w:val="16"/>
              <w:u w:val="none"/>
              <w:lang w:val="pt-BR"/>
            </w:rPr>
            <w:fldChar w:fldCharType="end"/>
          </w:r>
        </w:p>
        <w:p w14:paraId="58E2C4EC" w14:textId="77777777" w:rsidR="002E053A" w:rsidRDefault="002E053A" w:rsidP="001A1B4A">
          <w:pPr>
            <w:pStyle w:val="Cabealho"/>
            <w:spacing w:line="276" w:lineRule="auto"/>
            <w:jc w:val="right"/>
          </w:pPr>
        </w:p>
      </w:tc>
    </w:tr>
  </w:tbl>
  <w:p w14:paraId="18F78562" w14:textId="77777777" w:rsidR="002E053A" w:rsidRDefault="002E053A"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711" w14:textId="77777777" w:rsidR="002E053A" w:rsidRDefault="002E053A"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02"/>
      <w:gridCol w:w="5528"/>
    </w:tblGrid>
    <w:tr w:rsidR="002E053A" w:rsidRPr="007A36D4" w14:paraId="4D71A885" w14:textId="77777777" w:rsidTr="00EE59DB">
      <w:tc>
        <w:tcPr>
          <w:tcW w:w="1134" w:type="dxa"/>
        </w:tcPr>
        <w:p w14:paraId="77432867" w14:textId="77777777" w:rsidR="002E053A" w:rsidRDefault="002E053A" w:rsidP="00AB2929">
          <w:pPr>
            <w:pStyle w:val="NoParagraphStyle"/>
            <w:spacing w:line="276" w:lineRule="auto"/>
          </w:pPr>
          <w:r>
            <w:rPr>
              <w:noProof/>
              <w:lang w:val="pt-BR" w:eastAsia="pt-BR"/>
            </w:rPr>
            <w:drawing>
              <wp:inline distT="0" distB="0" distL="0" distR="0" wp14:anchorId="6AECF47E" wp14:editId="1F6C7BA3">
                <wp:extent cx="519132"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402" w:type="dxa"/>
          <w:vAlign w:val="bottom"/>
        </w:tcPr>
        <w:p w14:paraId="43C9F81B" w14:textId="77777777" w:rsidR="000E26C6" w:rsidRPr="006D4BA9" w:rsidRDefault="000E26C6" w:rsidP="000E26C6">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Review </w:t>
          </w:r>
          <w:proofErr w:type="spellStart"/>
          <w:r w:rsidRPr="006D4BA9">
            <w:rPr>
              <w:rFonts w:ascii="Calibri" w:hAnsi="Calibri" w:cs="Calibri"/>
              <w:sz w:val="14"/>
              <w:szCs w:val="14"/>
              <w:lang w:val="pt-BR"/>
            </w:rPr>
            <w:t>Article</w:t>
          </w:r>
          <w:proofErr w:type="spellEnd"/>
        </w:p>
        <w:p w14:paraId="2386534C" w14:textId="470C1CD7" w:rsidR="000E26C6" w:rsidRPr="006D4BA9" w:rsidRDefault="000E26C6" w:rsidP="000E26C6">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 xml:space="preserve">Artigo de </w:t>
          </w:r>
          <w:r>
            <w:rPr>
              <w:rFonts w:ascii="Calibri" w:hAnsi="Calibri" w:cs="Calibri"/>
              <w:sz w:val="14"/>
              <w:szCs w:val="14"/>
              <w:lang w:val="pt-BR"/>
            </w:rPr>
            <w:t>Revisão</w:t>
          </w:r>
        </w:p>
        <w:p w14:paraId="3C8322C8" w14:textId="05C18398" w:rsidR="002E053A" w:rsidRPr="006D4BA9" w:rsidRDefault="000E26C6" w:rsidP="000E26C6">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proofErr w:type="spellStart"/>
          <w:r>
            <w:rPr>
              <w:rFonts w:ascii="Calibri" w:hAnsi="Calibri" w:cs="Calibri"/>
              <w:sz w:val="14"/>
              <w:szCs w:val="14"/>
              <w:lang w:val="pt-BR"/>
            </w:rPr>
            <w:t>Resvisión</w:t>
          </w:r>
          <w:proofErr w:type="spellEnd"/>
        </w:p>
      </w:tc>
      <w:tc>
        <w:tcPr>
          <w:tcW w:w="5528" w:type="dxa"/>
        </w:tcPr>
        <w:p w14:paraId="0DDA14F9" w14:textId="7F785970" w:rsidR="002E053A" w:rsidRPr="00E26E0F" w:rsidRDefault="002E053A" w:rsidP="00AB2929">
          <w:pPr>
            <w:pStyle w:val="Default"/>
            <w:spacing w:line="276" w:lineRule="auto"/>
            <w:jc w:val="right"/>
            <w:rPr>
              <w:rFonts w:ascii="Calibri" w:hAnsi="Calibri" w:cs="Calibri"/>
              <w:color w:val="auto"/>
              <w:sz w:val="14"/>
              <w:szCs w:val="14"/>
              <w:lang w:val="pt-BR"/>
            </w:rPr>
          </w:pPr>
          <w:r w:rsidRPr="00E26E0F">
            <w:rPr>
              <w:rFonts w:ascii="Calibri" w:eastAsia="Calibri" w:hAnsi="Calibri" w:cs="Calibri"/>
              <w:color w:val="auto"/>
              <w:sz w:val="14"/>
              <w:szCs w:val="14"/>
              <w:highlight w:val="white"/>
              <w:lang w:val="pt-BR"/>
            </w:rPr>
            <w:t xml:space="preserve">Rodrigues </w:t>
          </w:r>
          <w:r w:rsidRPr="00E26E0F">
            <w:rPr>
              <w:rFonts w:ascii="Calibri" w:eastAsia="Calibri" w:hAnsi="Calibri" w:cs="Calibri"/>
              <w:color w:val="auto"/>
              <w:sz w:val="14"/>
              <w:szCs w:val="14"/>
              <w:lang w:val="pt-BR"/>
            </w:rPr>
            <w:t xml:space="preserve">QPS, Lins SMSB, </w:t>
          </w:r>
          <w:r w:rsidRPr="00E26E0F">
            <w:rPr>
              <w:rFonts w:ascii="Calibri" w:eastAsia="Calibri" w:hAnsi="Calibri" w:cs="Calibri"/>
              <w:color w:val="auto"/>
              <w:sz w:val="14"/>
              <w:szCs w:val="14"/>
              <w:highlight w:val="white"/>
              <w:lang w:val="pt-BR"/>
            </w:rPr>
            <w:t xml:space="preserve">Peres EM, </w:t>
          </w:r>
          <w:r w:rsidRPr="00E26E0F">
            <w:rPr>
              <w:rFonts w:ascii="Calibri" w:eastAsia="Calibri" w:hAnsi="Calibri" w:cs="Calibri"/>
              <w:color w:val="auto"/>
              <w:sz w:val="14"/>
              <w:szCs w:val="14"/>
              <w:lang w:val="pt-BR"/>
            </w:rPr>
            <w:t xml:space="preserve">Andrade PCST, </w:t>
          </w:r>
          <w:r w:rsidRPr="00E26E0F">
            <w:rPr>
              <w:rFonts w:ascii="Calibri" w:eastAsia="Calibri" w:hAnsi="Calibri" w:cs="Calibri"/>
              <w:color w:val="auto"/>
              <w:sz w:val="14"/>
              <w:szCs w:val="14"/>
              <w:highlight w:val="white"/>
              <w:lang w:val="pt-BR"/>
            </w:rPr>
            <w:t>Moraes EB, Campos TS</w:t>
          </w:r>
        </w:p>
        <w:p w14:paraId="02633E6C" w14:textId="526686C7" w:rsidR="002E053A" w:rsidRPr="008B3FCD" w:rsidRDefault="007A36D4" w:rsidP="00AB2929">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1D4902">
            <w:rPr>
              <w:rFonts w:ascii="Calibri" w:eastAsia="Calibri" w:hAnsi="Calibri" w:cs="Calibri"/>
              <w:color w:val="000000" w:themeColor="text1"/>
              <w:sz w:val="14"/>
              <w:szCs w:val="14"/>
            </w:rPr>
            <w:t>Blood transfusion in Jehovah's Witnesses</w:t>
          </w:r>
        </w:p>
        <w:p w14:paraId="345E5DEC" w14:textId="66379F4E" w:rsidR="002E053A" w:rsidRPr="008B3FCD" w:rsidRDefault="002E053A" w:rsidP="00AB2929">
          <w:pPr>
            <w:pStyle w:val="Cabealho"/>
            <w:spacing w:line="276" w:lineRule="auto"/>
            <w:jc w:val="right"/>
            <w:rPr>
              <w:rFonts w:ascii="Calibri" w:hAnsi="Calibri" w:cs="Calibri"/>
              <w:color w:val="FF0000"/>
              <w:sz w:val="14"/>
              <w:szCs w:val="16"/>
              <w:lang w:val="en-US"/>
            </w:rPr>
          </w:pPr>
          <w:r w:rsidRPr="008B3FCD">
            <w:rPr>
              <w:rFonts w:ascii="Calibri" w:hAnsi="Calibri" w:cs="Calibri"/>
              <w:sz w:val="14"/>
              <w:szCs w:val="16"/>
              <w:lang w:val="en-US"/>
            </w:rPr>
            <w:t xml:space="preserve">DOI: </w:t>
          </w:r>
          <w:r w:rsidR="00000000">
            <w:fldChar w:fldCharType="begin"/>
          </w:r>
          <w:r w:rsidR="00000000" w:rsidRPr="008B3FCD">
            <w:rPr>
              <w:lang w:val="en-US"/>
            </w:rPr>
            <w:instrText xml:space="preserve"> HYPERLINK "http://dx.doi.org/10.12957/reuerj.2022.65063" </w:instrText>
          </w:r>
          <w:r w:rsidR="00000000">
            <w:fldChar w:fldCharType="separate"/>
          </w:r>
          <w:r w:rsidR="00E26E0F" w:rsidRPr="008B3FCD">
            <w:rPr>
              <w:rStyle w:val="Hyperlink"/>
              <w:rFonts w:ascii="Calibri" w:hAnsi="Calibri" w:cs="Calibri"/>
              <w:color w:val="auto"/>
              <w:sz w:val="14"/>
              <w:szCs w:val="16"/>
              <w:u w:val="none"/>
              <w:lang w:val="en-US"/>
            </w:rPr>
            <w:t>http://dx.doi.org/10.12957/reuerj.2022.65063</w:t>
          </w:r>
          <w:r w:rsidR="00000000">
            <w:rPr>
              <w:rStyle w:val="Hyperlink"/>
              <w:rFonts w:ascii="Calibri" w:hAnsi="Calibri" w:cs="Calibri"/>
              <w:color w:val="auto"/>
              <w:sz w:val="14"/>
              <w:szCs w:val="16"/>
              <w:u w:val="none"/>
            </w:rPr>
            <w:fldChar w:fldCharType="end"/>
          </w:r>
          <w:r w:rsidR="00E26E0F" w:rsidRPr="008B3FCD">
            <w:rPr>
              <w:rFonts w:ascii="Calibri" w:hAnsi="Calibri" w:cs="Calibri"/>
              <w:sz w:val="14"/>
              <w:szCs w:val="16"/>
              <w:u w:color="0000FF"/>
              <w:lang w:val="en-US"/>
            </w:rPr>
            <w:t xml:space="preserve"> </w:t>
          </w:r>
          <w:r w:rsidRPr="008B3FCD">
            <w:rPr>
              <w:rStyle w:val="Hyperlink"/>
              <w:rFonts w:ascii="Calibri" w:hAnsi="Calibri" w:cs="Calibri"/>
              <w:color w:val="auto"/>
              <w:sz w:val="14"/>
              <w:szCs w:val="16"/>
              <w:u w:val="none"/>
              <w:lang w:val="en-US"/>
            </w:rPr>
            <w:t xml:space="preserve">      </w:t>
          </w:r>
          <w:r w:rsidRPr="008B3FCD">
            <w:rPr>
              <w:rStyle w:val="Hyperlink"/>
              <w:rFonts w:cstheme="minorHAnsi"/>
              <w:color w:val="auto"/>
              <w:sz w:val="14"/>
              <w:szCs w:val="16"/>
              <w:u w:val="none"/>
              <w:lang w:val="en-US"/>
            </w:rPr>
            <w:t xml:space="preserve">  </w:t>
          </w:r>
          <w:r w:rsidRPr="008B3FCD">
            <w:rPr>
              <w:rFonts w:cstheme="minorHAnsi"/>
              <w:sz w:val="14"/>
              <w:szCs w:val="16"/>
              <w:u w:color="0000FF"/>
              <w:lang w:val="en-US"/>
            </w:rPr>
            <w:t xml:space="preserve"> </w:t>
          </w:r>
          <w:r w:rsidRPr="008B3FCD">
            <w:rPr>
              <w:rStyle w:val="Hyperlink"/>
              <w:rFonts w:ascii="Calibri" w:hAnsi="Calibri" w:cs="Calibri"/>
              <w:color w:val="auto"/>
              <w:sz w:val="14"/>
              <w:szCs w:val="16"/>
              <w:u w:val="none"/>
              <w:lang w:val="en-US"/>
            </w:rPr>
            <w:t xml:space="preserve"> </w:t>
          </w:r>
        </w:p>
        <w:p w14:paraId="2345F26B" w14:textId="77777777" w:rsidR="002E053A" w:rsidRPr="008B3FCD" w:rsidRDefault="002E053A" w:rsidP="00AB2929">
          <w:pPr>
            <w:pStyle w:val="Cabealho"/>
            <w:spacing w:line="276" w:lineRule="auto"/>
            <w:jc w:val="right"/>
            <w:rPr>
              <w:lang w:val="en-US"/>
            </w:rPr>
          </w:pPr>
        </w:p>
      </w:tc>
    </w:tr>
  </w:tbl>
  <w:p w14:paraId="1C5AD242" w14:textId="77777777" w:rsidR="002E053A" w:rsidRPr="008B3FCD" w:rsidRDefault="002E053A">
    <w:pPr>
      <w:pStyle w:val="Cabealho"/>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07A" w14:textId="77777777" w:rsidR="002E053A" w:rsidRPr="00814848" w:rsidRDefault="002E053A"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5669"/>
    </w:tblGrid>
    <w:tr w:rsidR="002E053A" w:rsidRPr="007A36D4" w14:paraId="469D2A97" w14:textId="77777777" w:rsidTr="00EE59DB">
      <w:tc>
        <w:tcPr>
          <w:tcW w:w="1134" w:type="dxa"/>
        </w:tcPr>
        <w:p w14:paraId="65568288" w14:textId="77777777" w:rsidR="002E053A" w:rsidRDefault="002E053A" w:rsidP="00814848">
          <w:pPr>
            <w:pStyle w:val="NoParagraphStyle"/>
            <w:spacing w:line="276" w:lineRule="auto"/>
          </w:pPr>
          <w:r>
            <w:rPr>
              <w:noProof/>
              <w:lang w:val="pt-BR" w:eastAsia="pt-BR"/>
            </w:rPr>
            <w:drawing>
              <wp:inline distT="0" distB="0" distL="0" distR="0" wp14:anchorId="1FCFEB6B" wp14:editId="06871B20">
                <wp:extent cx="519132"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261" w:type="dxa"/>
          <w:vAlign w:val="bottom"/>
        </w:tcPr>
        <w:p w14:paraId="4C210C91" w14:textId="77777777" w:rsidR="000E26C6" w:rsidRPr="006D4BA9" w:rsidRDefault="000E26C6" w:rsidP="000E26C6">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Review </w:t>
          </w:r>
          <w:proofErr w:type="spellStart"/>
          <w:r w:rsidRPr="006D4BA9">
            <w:rPr>
              <w:rFonts w:ascii="Calibri" w:hAnsi="Calibri" w:cs="Calibri"/>
              <w:sz w:val="14"/>
              <w:szCs w:val="14"/>
              <w:lang w:val="pt-BR"/>
            </w:rPr>
            <w:t>Article</w:t>
          </w:r>
          <w:proofErr w:type="spellEnd"/>
        </w:p>
        <w:p w14:paraId="2AEC0426" w14:textId="77777777" w:rsidR="000E26C6" w:rsidRPr="006D4BA9" w:rsidRDefault="000E26C6" w:rsidP="000E26C6">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 xml:space="preserve">Artigo de </w:t>
          </w:r>
          <w:r>
            <w:rPr>
              <w:rFonts w:ascii="Calibri" w:hAnsi="Calibri" w:cs="Calibri"/>
              <w:sz w:val="14"/>
              <w:szCs w:val="14"/>
              <w:lang w:val="pt-BR"/>
            </w:rPr>
            <w:t>Revisão</w:t>
          </w:r>
        </w:p>
        <w:p w14:paraId="2AD65F6B" w14:textId="3B67E7BE" w:rsidR="002E053A" w:rsidRPr="00327336" w:rsidRDefault="000E26C6" w:rsidP="000E26C6">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Pr>
              <w:rFonts w:ascii="Calibri" w:hAnsi="Calibri" w:cs="Calibri"/>
              <w:sz w:val="14"/>
              <w:szCs w:val="14"/>
              <w:lang w:val="pt-BR"/>
            </w:rPr>
            <w:t>Resvisión</w:t>
          </w:r>
          <w:proofErr w:type="spellEnd"/>
        </w:p>
      </w:tc>
      <w:tc>
        <w:tcPr>
          <w:tcW w:w="5669" w:type="dxa"/>
        </w:tcPr>
        <w:p w14:paraId="55FDCDD1" w14:textId="77777777" w:rsidR="00E26E0F" w:rsidRPr="00E26E0F" w:rsidRDefault="00E26E0F" w:rsidP="00E26E0F">
          <w:pPr>
            <w:pStyle w:val="Default"/>
            <w:spacing w:line="276" w:lineRule="auto"/>
            <w:jc w:val="right"/>
            <w:rPr>
              <w:rFonts w:ascii="Calibri" w:hAnsi="Calibri" w:cs="Calibri"/>
              <w:color w:val="auto"/>
              <w:sz w:val="14"/>
              <w:szCs w:val="14"/>
              <w:lang w:val="pt-BR"/>
            </w:rPr>
          </w:pPr>
          <w:r w:rsidRPr="00E26E0F">
            <w:rPr>
              <w:rFonts w:ascii="Calibri" w:eastAsia="Calibri" w:hAnsi="Calibri" w:cs="Calibri"/>
              <w:color w:val="auto"/>
              <w:sz w:val="14"/>
              <w:szCs w:val="14"/>
              <w:highlight w:val="white"/>
              <w:lang w:val="pt-BR"/>
            </w:rPr>
            <w:t xml:space="preserve">Rodrigues </w:t>
          </w:r>
          <w:r w:rsidRPr="00E26E0F">
            <w:rPr>
              <w:rFonts w:ascii="Calibri" w:eastAsia="Calibri" w:hAnsi="Calibri" w:cs="Calibri"/>
              <w:color w:val="auto"/>
              <w:sz w:val="14"/>
              <w:szCs w:val="14"/>
              <w:lang w:val="pt-BR"/>
            </w:rPr>
            <w:t xml:space="preserve">QPS, Lins SMSB, </w:t>
          </w:r>
          <w:r w:rsidRPr="00E26E0F">
            <w:rPr>
              <w:rFonts w:ascii="Calibri" w:eastAsia="Calibri" w:hAnsi="Calibri" w:cs="Calibri"/>
              <w:color w:val="auto"/>
              <w:sz w:val="14"/>
              <w:szCs w:val="14"/>
              <w:highlight w:val="white"/>
              <w:lang w:val="pt-BR"/>
            </w:rPr>
            <w:t xml:space="preserve">Peres EM, </w:t>
          </w:r>
          <w:r w:rsidRPr="00E26E0F">
            <w:rPr>
              <w:rFonts w:ascii="Calibri" w:eastAsia="Calibri" w:hAnsi="Calibri" w:cs="Calibri"/>
              <w:color w:val="auto"/>
              <w:sz w:val="14"/>
              <w:szCs w:val="14"/>
              <w:lang w:val="pt-BR"/>
            </w:rPr>
            <w:t xml:space="preserve">Andrade PCST, </w:t>
          </w:r>
          <w:r w:rsidRPr="00E26E0F">
            <w:rPr>
              <w:rFonts w:ascii="Calibri" w:eastAsia="Calibri" w:hAnsi="Calibri" w:cs="Calibri"/>
              <w:color w:val="auto"/>
              <w:sz w:val="14"/>
              <w:szCs w:val="14"/>
              <w:highlight w:val="white"/>
              <w:lang w:val="pt-BR"/>
            </w:rPr>
            <w:t>Moraes EB, Campos TS</w:t>
          </w:r>
        </w:p>
        <w:p w14:paraId="04CDAFA2" w14:textId="151B62F6" w:rsidR="00E26E0F" w:rsidRPr="008B3FCD" w:rsidRDefault="007A36D4" w:rsidP="00E26E0F">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1D4902">
            <w:rPr>
              <w:rFonts w:ascii="Calibri" w:eastAsia="Calibri" w:hAnsi="Calibri" w:cs="Calibri"/>
              <w:color w:val="000000" w:themeColor="text1"/>
              <w:sz w:val="14"/>
              <w:szCs w:val="14"/>
            </w:rPr>
            <w:t>Blood transfusion in Jehovah's Witnesses</w:t>
          </w:r>
        </w:p>
        <w:p w14:paraId="0DBBCF1A" w14:textId="61D7921F" w:rsidR="002E053A" w:rsidRPr="008B3FCD" w:rsidRDefault="00E26E0F" w:rsidP="00E26E0F">
          <w:pPr>
            <w:pStyle w:val="Cabealho"/>
            <w:spacing w:line="276" w:lineRule="auto"/>
            <w:jc w:val="right"/>
            <w:rPr>
              <w:rFonts w:ascii="Calibri" w:hAnsi="Calibri" w:cs="Calibri"/>
              <w:sz w:val="14"/>
              <w:szCs w:val="16"/>
              <w:lang w:val="en-US"/>
            </w:rPr>
          </w:pPr>
          <w:r w:rsidRPr="008B3FCD">
            <w:rPr>
              <w:rFonts w:ascii="Calibri" w:hAnsi="Calibri" w:cs="Calibri"/>
              <w:sz w:val="14"/>
              <w:szCs w:val="16"/>
              <w:lang w:val="en-US"/>
            </w:rPr>
            <w:t xml:space="preserve">DOI: </w:t>
          </w:r>
          <w:hyperlink r:id="rId2" w:history="1">
            <w:r w:rsidRPr="008B3FCD">
              <w:rPr>
                <w:rStyle w:val="Hyperlink"/>
                <w:rFonts w:ascii="Calibri" w:hAnsi="Calibri" w:cs="Calibri"/>
                <w:color w:val="auto"/>
                <w:sz w:val="14"/>
                <w:szCs w:val="16"/>
                <w:u w:val="none"/>
                <w:lang w:val="en-US"/>
              </w:rPr>
              <w:t>http://dx.doi.org/10.12957/reuerj.2022.65063</w:t>
            </w:r>
          </w:hyperlink>
          <w:r w:rsidR="002E053A" w:rsidRPr="008B3FCD">
            <w:rPr>
              <w:rStyle w:val="Hyperlink"/>
              <w:rFonts w:ascii="Calibri" w:hAnsi="Calibri" w:cs="Calibri"/>
              <w:color w:val="auto"/>
              <w:sz w:val="14"/>
              <w:szCs w:val="16"/>
              <w:u w:val="none"/>
              <w:lang w:val="en-US"/>
            </w:rPr>
            <w:t xml:space="preserve"> </w:t>
          </w:r>
        </w:p>
        <w:p w14:paraId="7904C241" w14:textId="77777777" w:rsidR="002E053A" w:rsidRPr="008B3FCD" w:rsidRDefault="002E053A" w:rsidP="00814848">
          <w:pPr>
            <w:pStyle w:val="Cabealho"/>
            <w:spacing w:line="276" w:lineRule="auto"/>
            <w:jc w:val="right"/>
            <w:rPr>
              <w:lang w:val="en-US"/>
            </w:rPr>
          </w:pPr>
        </w:p>
      </w:tc>
    </w:tr>
  </w:tbl>
  <w:p w14:paraId="1677C58A" w14:textId="77777777" w:rsidR="002E053A" w:rsidRPr="008B3FCD" w:rsidRDefault="002E053A" w:rsidP="00E4479A">
    <w:pPr>
      <w:pBdr>
        <w:top w:val="nil"/>
        <w:left w:val="nil"/>
        <w:bottom w:val="nil"/>
        <w:right w:val="nil"/>
        <w:between w:val="nil"/>
      </w:pBdr>
      <w:spacing w:after="0" w:line="240" w:lineRule="auto"/>
      <w:rPr>
        <w:rFonts w:asciiTheme="minorHAnsi" w:hAnsiTheme="minorHAnsi" w:cstheme="minorHAns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40B3DB0"/>
    <w:multiLevelType w:val="hybridMultilevel"/>
    <w:tmpl w:val="6DF6E4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07BD7EF1"/>
    <w:multiLevelType w:val="multilevel"/>
    <w:tmpl w:val="7E422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EB1651"/>
    <w:multiLevelType w:val="hybridMultilevel"/>
    <w:tmpl w:val="8F9E0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2F5F99"/>
    <w:multiLevelType w:val="hybridMultilevel"/>
    <w:tmpl w:val="58A410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5522DB3"/>
    <w:multiLevelType w:val="hybridMultilevel"/>
    <w:tmpl w:val="B66E4F8C"/>
    <w:lvl w:ilvl="0" w:tplc="3A0AEED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E83F4E"/>
    <w:multiLevelType w:val="multilevel"/>
    <w:tmpl w:val="99CA5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D6E5F"/>
    <w:multiLevelType w:val="hybridMultilevel"/>
    <w:tmpl w:val="E488E0FA"/>
    <w:lvl w:ilvl="0" w:tplc="EF0C6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FE04D8"/>
    <w:multiLevelType w:val="hybridMultilevel"/>
    <w:tmpl w:val="BFE2F6A4"/>
    <w:numStyleLink w:val="EstiloImportado1"/>
  </w:abstractNum>
  <w:abstractNum w:abstractNumId="18" w15:restartNumberingAfterBreak="0">
    <w:nsid w:val="39C44D28"/>
    <w:multiLevelType w:val="hybridMultilevel"/>
    <w:tmpl w:val="76507D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C210CFB"/>
    <w:multiLevelType w:val="hybridMultilevel"/>
    <w:tmpl w:val="0F2A02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497AAB"/>
    <w:multiLevelType w:val="hybridMultilevel"/>
    <w:tmpl w:val="90848EC8"/>
    <w:lvl w:ilvl="0" w:tplc="F97827A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664816"/>
    <w:multiLevelType w:val="hybridMultilevel"/>
    <w:tmpl w:val="5644DB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8F3320"/>
    <w:multiLevelType w:val="hybridMultilevel"/>
    <w:tmpl w:val="E5884456"/>
    <w:lvl w:ilvl="0" w:tplc="E4EA9C2C">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C6C3B49"/>
    <w:multiLevelType w:val="multilevel"/>
    <w:tmpl w:val="424813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C929C7"/>
    <w:multiLevelType w:val="hybridMultilevel"/>
    <w:tmpl w:val="B34850EA"/>
    <w:lvl w:ilvl="0" w:tplc="89D8B2C2">
      <w:start w:val="1"/>
      <w:numFmt w:val="decimal"/>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246448">
    <w:abstractNumId w:val="25"/>
  </w:num>
  <w:num w:numId="2" w16cid:durableId="1425373620">
    <w:abstractNumId w:val="0"/>
  </w:num>
  <w:num w:numId="3" w16cid:durableId="1263682852">
    <w:abstractNumId w:val="1"/>
  </w:num>
  <w:num w:numId="4" w16cid:durableId="1127813670">
    <w:abstractNumId w:val="2"/>
  </w:num>
  <w:num w:numId="5" w16cid:durableId="1458447266">
    <w:abstractNumId w:val="3"/>
  </w:num>
  <w:num w:numId="6" w16cid:durableId="1845314670">
    <w:abstractNumId w:val="4"/>
  </w:num>
  <w:num w:numId="7" w16cid:durableId="1321330">
    <w:abstractNumId w:val="5"/>
  </w:num>
  <w:num w:numId="8" w16cid:durableId="1329285450">
    <w:abstractNumId w:val="6"/>
  </w:num>
  <w:num w:numId="9" w16cid:durableId="178979220">
    <w:abstractNumId w:val="7"/>
  </w:num>
  <w:num w:numId="10" w16cid:durableId="123885870">
    <w:abstractNumId w:val="8"/>
  </w:num>
  <w:num w:numId="11" w16cid:durableId="1055473091">
    <w:abstractNumId w:val="9"/>
  </w:num>
  <w:num w:numId="12" w16cid:durableId="1733967766">
    <w:abstractNumId w:val="14"/>
  </w:num>
  <w:num w:numId="13" w16cid:durableId="276720843">
    <w:abstractNumId w:val="24"/>
  </w:num>
  <w:num w:numId="14" w16cid:durableId="1010136124">
    <w:abstractNumId w:val="17"/>
  </w:num>
  <w:num w:numId="15" w16cid:durableId="1135024098">
    <w:abstractNumId w:val="17"/>
    <w:lvlOverride w:ilvl="0">
      <w:lvl w:ilvl="0" w:tplc="13D06D72">
        <w:start w:val="1"/>
        <w:numFmt w:val="decimal"/>
        <w:lvlText w:val="%1."/>
        <w:lvlJc w:val="left"/>
        <w:pPr>
          <w:tabs>
            <w:tab w:val="left" w:pos="4635"/>
            <w:tab w:val="left" w:pos="8221"/>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tabs>
            <w:tab w:val="left" w:pos="461"/>
            <w:tab w:val="left" w:pos="4635"/>
            <w:tab w:val="left" w:pos="822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tabs>
            <w:tab w:val="left" w:pos="461"/>
            <w:tab w:val="left" w:pos="4635"/>
            <w:tab w:val="left" w:pos="822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tabs>
            <w:tab w:val="left" w:pos="461"/>
            <w:tab w:val="left" w:pos="4635"/>
            <w:tab w:val="left" w:pos="822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tabs>
            <w:tab w:val="left" w:pos="461"/>
            <w:tab w:val="left" w:pos="4635"/>
            <w:tab w:val="left" w:pos="822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tabs>
            <w:tab w:val="left" w:pos="461"/>
            <w:tab w:val="left" w:pos="4635"/>
            <w:tab w:val="left" w:pos="822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tabs>
            <w:tab w:val="left" w:pos="461"/>
            <w:tab w:val="left" w:pos="822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tabs>
            <w:tab w:val="left" w:pos="461"/>
            <w:tab w:val="left" w:pos="4635"/>
            <w:tab w:val="left" w:pos="822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tabs>
            <w:tab w:val="left" w:pos="461"/>
            <w:tab w:val="left" w:pos="4635"/>
            <w:tab w:val="left" w:pos="822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557016428">
    <w:abstractNumId w:val="17"/>
    <w:lvlOverride w:ilvl="0">
      <w:lvl w:ilvl="0" w:tplc="13D06D72">
        <w:start w:val="1"/>
        <w:numFmt w:val="decimal"/>
        <w:lvlText w:val="%1."/>
        <w:lvlJc w:val="left"/>
        <w:pPr>
          <w:tabs>
            <w:tab w:val="left" w:pos="4308"/>
            <w:tab w:val="left" w:pos="8223"/>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tabs>
            <w:tab w:val="left" w:pos="461"/>
            <w:tab w:val="left" w:pos="4308"/>
            <w:tab w:val="left" w:pos="822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tabs>
            <w:tab w:val="left" w:pos="461"/>
            <w:tab w:val="left" w:pos="4308"/>
            <w:tab w:val="left" w:pos="822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tabs>
            <w:tab w:val="left" w:pos="461"/>
            <w:tab w:val="left" w:pos="4308"/>
            <w:tab w:val="left" w:pos="822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tabs>
            <w:tab w:val="left" w:pos="461"/>
            <w:tab w:val="left" w:pos="4308"/>
            <w:tab w:val="left" w:pos="822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tabs>
            <w:tab w:val="left" w:pos="461"/>
            <w:tab w:val="left" w:pos="4308"/>
            <w:tab w:val="left" w:pos="822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tabs>
            <w:tab w:val="left" w:pos="461"/>
            <w:tab w:val="left" w:pos="4308"/>
            <w:tab w:val="left" w:pos="822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tabs>
            <w:tab w:val="left" w:pos="461"/>
            <w:tab w:val="left" w:pos="4308"/>
            <w:tab w:val="left" w:pos="822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tabs>
            <w:tab w:val="left" w:pos="461"/>
            <w:tab w:val="left" w:pos="4308"/>
            <w:tab w:val="left" w:pos="822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67065666">
    <w:abstractNumId w:val="17"/>
    <w:lvlOverride w:ilvl="0">
      <w:lvl w:ilvl="0" w:tplc="13D06D72">
        <w:start w:val="1"/>
        <w:numFmt w:val="decimal"/>
        <w:lvlText w:val="%1."/>
        <w:lvlJc w:val="left"/>
        <w:pPr>
          <w:tabs>
            <w:tab w:val="left" w:pos="8216"/>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tabs>
            <w:tab w:val="left" w:pos="461"/>
            <w:tab w:val="left" w:pos="821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tabs>
            <w:tab w:val="left" w:pos="461"/>
            <w:tab w:val="left" w:pos="821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tabs>
            <w:tab w:val="left" w:pos="461"/>
            <w:tab w:val="left" w:pos="821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tabs>
            <w:tab w:val="left" w:pos="461"/>
            <w:tab w:val="left" w:pos="821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tabs>
            <w:tab w:val="left" w:pos="461"/>
            <w:tab w:val="left" w:pos="821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tabs>
            <w:tab w:val="left" w:pos="461"/>
            <w:tab w:val="left" w:pos="821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tabs>
            <w:tab w:val="left" w:pos="461"/>
            <w:tab w:val="left" w:pos="821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tabs>
            <w:tab w:val="left" w:pos="461"/>
            <w:tab w:val="left" w:pos="821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919051821">
    <w:abstractNumId w:val="17"/>
    <w:lvlOverride w:ilvl="0">
      <w:lvl w:ilvl="0" w:tplc="13D06D72">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428042364">
    <w:abstractNumId w:val="17"/>
    <w:lvlOverride w:ilvl="0">
      <w:lvl w:ilvl="0" w:tplc="13D06D72">
        <w:start w:val="1"/>
        <w:numFmt w:val="decimal"/>
        <w:lvlText w:val="%1."/>
        <w:lvlJc w:val="left"/>
        <w:pPr>
          <w:tabs>
            <w:tab w:val="left" w:pos="8220"/>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tabs>
            <w:tab w:val="left" w:pos="461"/>
            <w:tab w:val="left" w:pos="82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tabs>
            <w:tab w:val="left" w:pos="461"/>
            <w:tab w:val="left" w:pos="82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tabs>
            <w:tab w:val="left" w:pos="461"/>
            <w:tab w:val="left" w:pos="82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tabs>
            <w:tab w:val="left" w:pos="461"/>
            <w:tab w:val="left" w:pos="82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tabs>
            <w:tab w:val="left" w:pos="461"/>
            <w:tab w:val="left" w:pos="82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tabs>
            <w:tab w:val="left" w:pos="461"/>
            <w:tab w:val="left" w:pos="82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tabs>
            <w:tab w:val="left" w:pos="461"/>
            <w:tab w:val="left" w:pos="82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tabs>
            <w:tab w:val="left" w:pos="461"/>
            <w:tab w:val="left" w:pos="82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273441717">
    <w:abstractNumId w:val="17"/>
    <w:lvlOverride w:ilvl="0">
      <w:lvl w:ilvl="0" w:tplc="13D06D72">
        <w:start w:val="1"/>
        <w:numFmt w:val="decimal"/>
        <w:lvlText w:val="%1."/>
        <w:lvlJc w:val="left"/>
        <w:pPr>
          <w:tabs>
            <w:tab w:val="left" w:pos="4290"/>
            <w:tab w:val="left" w:pos="8220"/>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F2666A">
        <w:start w:val="1"/>
        <w:numFmt w:val="decimal"/>
        <w:lvlText w:val="%2."/>
        <w:lvlJc w:val="left"/>
        <w:pPr>
          <w:tabs>
            <w:tab w:val="left" w:pos="461"/>
            <w:tab w:val="left" w:pos="4290"/>
            <w:tab w:val="left" w:pos="82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69462">
        <w:start w:val="1"/>
        <w:numFmt w:val="decimal"/>
        <w:lvlText w:val="%3."/>
        <w:lvlJc w:val="left"/>
        <w:pPr>
          <w:tabs>
            <w:tab w:val="left" w:pos="461"/>
            <w:tab w:val="left" w:pos="4290"/>
            <w:tab w:val="left" w:pos="82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C6FBC">
        <w:start w:val="1"/>
        <w:numFmt w:val="decimal"/>
        <w:lvlText w:val="%4."/>
        <w:lvlJc w:val="left"/>
        <w:pPr>
          <w:tabs>
            <w:tab w:val="left" w:pos="461"/>
            <w:tab w:val="left" w:pos="4290"/>
            <w:tab w:val="left" w:pos="82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4A1BF6">
        <w:start w:val="1"/>
        <w:numFmt w:val="decimal"/>
        <w:lvlText w:val="%5."/>
        <w:lvlJc w:val="left"/>
        <w:pPr>
          <w:tabs>
            <w:tab w:val="left" w:pos="461"/>
            <w:tab w:val="left" w:pos="4290"/>
            <w:tab w:val="left" w:pos="82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44C520">
        <w:start w:val="1"/>
        <w:numFmt w:val="decimal"/>
        <w:lvlText w:val="%6."/>
        <w:lvlJc w:val="left"/>
        <w:pPr>
          <w:tabs>
            <w:tab w:val="left" w:pos="461"/>
            <w:tab w:val="left" w:pos="4290"/>
            <w:tab w:val="left" w:pos="82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8785C">
        <w:start w:val="1"/>
        <w:numFmt w:val="decimal"/>
        <w:lvlText w:val="%7."/>
        <w:lvlJc w:val="left"/>
        <w:pPr>
          <w:tabs>
            <w:tab w:val="left" w:pos="461"/>
            <w:tab w:val="left" w:pos="4290"/>
            <w:tab w:val="left" w:pos="82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0B7AA">
        <w:start w:val="1"/>
        <w:numFmt w:val="decimal"/>
        <w:lvlText w:val="%8."/>
        <w:lvlJc w:val="left"/>
        <w:pPr>
          <w:tabs>
            <w:tab w:val="left" w:pos="461"/>
            <w:tab w:val="left" w:pos="4290"/>
            <w:tab w:val="left" w:pos="82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A9B92">
        <w:start w:val="1"/>
        <w:numFmt w:val="decimal"/>
        <w:lvlText w:val="%9."/>
        <w:lvlJc w:val="left"/>
        <w:pPr>
          <w:tabs>
            <w:tab w:val="left" w:pos="461"/>
            <w:tab w:val="left" w:pos="4290"/>
            <w:tab w:val="left" w:pos="82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69106719">
    <w:abstractNumId w:val="19"/>
  </w:num>
  <w:num w:numId="22" w16cid:durableId="1000233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8996326">
    <w:abstractNumId w:val="13"/>
  </w:num>
  <w:num w:numId="24" w16cid:durableId="783307657">
    <w:abstractNumId w:val="22"/>
  </w:num>
  <w:num w:numId="25" w16cid:durableId="1741949614">
    <w:abstractNumId w:val="20"/>
  </w:num>
  <w:num w:numId="26" w16cid:durableId="150492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1753791">
    <w:abstractNumId w:val="10"/>
  </w:num>
  <w:num w:numId="28" w16cid:durableId="660502086">
    <w:abstractNumId w:val="21"/>
  </w:num>
  <w:num w:numId="29" w16cid:durableId="1878855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70083">
    <w:abstractNumId w:val="12"/>
  </w:num>
  <w:num w:numId="31" w16cid:durableId="1041711940">
    <w:abstractNumId w:val="15"/>
  </w:num>
  <w:num w:numId="32" w16cid:durableId="909996319">
    <w:abstractNumId w:val="23"/>
  </w:num>
  <w:num w:numId="33" w16cid:durableId="840781012">
    <w:abstractNumId w:val="11"/>
  </w:num>
  <w:num w:numId="34" w16cid:durableId="1281184094">
    <w:abstractNumId w:val="26"/>
  </w:num>
  <w:num w:numId="35" w16cid:durableId="3782102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5F11"/>
    <w:rsid w:val="00006AA2"/>
    <w:rsid w:val="00013AA5"/>
    <w:rsid w:val="00014988"/>
    <w:rsid w:val="00017D37"/>
    <w:rsid w:val="00017EC5"/>
    <w:rsid w:val="0002249B"/>
    <w:rsid w:val="00025559"/>
    <w:rsid w:val="00025FF5"/>
    <w:rsid w:val="0002609B"/>
    <w:rsid w:val="00026A41"/>
    <w:rsid w:val="0003136E"/>
    <w:rsid w:val="000323C9"/>
    <w:rsid w:val="0004125C"/>
    <w:rsid w:val="00041F2B"/>
    <w:rsid w:val="00042FA5"/>
    <w:rsid w:val="00046784"/>
    <w:rsid w:val="00047A7D"/>
    <w:rsid w:val="000515B1"/>
    <w:rsid w:val="00051E80"/>
    <w:rsid w:val="000543D4"/>
    <w:rsid w:val="000558CC"/>
    <w:rsid w:val="0005599E"/>
    <w:rsid w:val="00066781"/>
    <w:rsid w:val="000717B0"/>
    <w:rsid w:val="00071D20"/>
    <w:rsid w:val="00071D82"/>
    <w:rsid w:val="00073C7A"/>
    <w:rsid w:val="00075D76"/>
    <w:rsid w:val="00077D78"/>
    <w:rsid w:val="00077ECB"/>
    <w:rsid w:val="00080290"/>
    <w:rsid w:val="000810DE"/>
    <w:rsid w:val="00085367"/>
    <w:rsid w:val="00087C07"/>
    <w:rsid w:val="00090225"/>
    <w:rsid w:val="0009286F"/>
    <w:rsid w:val="00093E54"/>
    <w:rsid w:val="0009510A"/>
    <w:rsid w:val="00097C02"/>
    <w:rsid w:val="000A10E8"/>
    <w:rsid w:val="000A4831"/>
    <w:rsid w:val="000A7523"/>
    <w:rsid w:val="000B3B00"/>
    <w:rsid w:val="000B606F"/>
    <w:rsid w:val="000B6CC6"/>
    <w:rsid w:val="000B7E53"/>
    <w:rsid w:val="000C0B86"/>
    <w:rsid w:val="000C0F48"/>
    <w:rsid w:val="000C170C"/>
    <w:rsid w:val="000C4776"/>
    <w:rsid w:val="000C6558"/>
    <w:rsid w:val="000C7076"/>
    <w:rsid w:val="000D0194"/>
    <w:rsid w:val="000D1610"/>
    <w:rsid w:val="000D3159"/>
    <w:rsid w:val="000D4C6A"/>
    <w:rsid w:val="000D5838"/>
    <w:rsid w:val="000D6E64"/>
    <w:rsid w:val="000E26C6"/>
    <w:rsid w:val="000E553B"/>
    <w:rsid w:val="000E57ED"/>
    <w:rsid w:val="000F2B04"/>
    <w:rsid w:val="000F46C7"/>
    <w:rsid w:val="00101ACD"/>
    <w:rsid w:val="00106A51"/>
    <w:rsid w:val="00112369"/>
    <w:rsid w:val="001128DB"/>
    <w:rsid w:val="00112D3D"/>
    <w:rsid w:val="0011455C"/>
    <w:rsid w:val="0011481B"/>
    <w:rsid w:val="0012095C"/>
    <w:rsid w:val="00120DFB"/>
    <w:rsid w:val="0012199C"/>
    <w:rsid w:val="00127277"/>
    <w:rsid w:val="001323B2"/>
    <w:rsid w:val="00132C40"/>
    <w:rsid w:val="001413B5"/>
    <w:rsid w:val="0014419C"/>
    <w:rsid w:val="00146431"/>
    <w:rsid w:val="001561EC"/>
    <w:rsid w:val="00170CCB"/>
    <w:rsid w:val="001735B9"/>
    <w:rsid w:val="0017535A"/>
    <w:rsid w:val="00177443"/>
    <w:rsid w:val="00184D70"/>
    <w:rsid w:val="001865B1"/>
    <w:rsid w:val="00186896"/>
    <w:rsid w:val="00186DED"/>
    <w:rsid w:val="001924B1"/>
    <w:rsid w:val="001976A6"/>
    <w:rsid w:val="00197E10"/>
    <w:rsid w:val="001A170C"/>
    <w:rsid w:val="001A1B4A"/>
    <w:rsid w:val="001A7BE3"/>
    <w:rsid w:val="001B1D5C"/>
    <w:rsid w:val="001B636D"/>
    <w:rsid w:val="001C0FB2"/>
    <w:rsid w:val="001C1BBE"/>
    <w:rsid w:val="001C2C90"/>
    <w:rsid w:val="001C75C4"/>
    <w:rsid w:val="001D488A"/>
    <w:rsid w:val="001D5999"/>
    <w:rsid w:val="001E09DE"/>
    <w:rsid w:val="001F2A52"/>
    <w:rsid w:val="001F33FC"/>
    <w:rsid w:val="001F464D"/>
    <w:rsid w:val="001F781B"/>
    <w:rsid w:val="0020436A"/>
    <w:rsid w:val="002129A3"/>
    <w:rsid w:val="00214CBF"/>
    <w:rsid w:val="0021647F"/>
    <w:rsid w:val="00217612"/>
    <w:rsid w:val="00217893"/>
    <w:rsid w:val="00217DF8"/>
    <w:rsid w:val="0022016B"/>
    <w:rsid w:val="002219A4"/>
    <w:rsid w:val="00224434"/>
    <w:rsid w:val="002254A8"/>
    <w:rsid w:val="00227F8B"/>
    <w:rsid w:val="0023074F"/>
    <w:rsid w:val="00235A84"/>
    <w:rsid w:val="0023748C"/>
    <w:rsid w:val="00243060"/>
    <w:rsid w:val="00244E54"/>
    <w:rsid w:val="00246DB4"/>
    <w:rsid w:val="0024748A"/>
    <w:rsid w:val="00251FC9"/>
    <w:rsid w:val="0025279F"/>
    <w:rsid w:val="00254B0B"/>
    <w:rsid w:val="00255039"/>
    <w:rsid w:val="00257F34"/>
    <w:rsid w:val="002601A0"/>
    <w:rsid w:val="002674EA"/>
    <w:rsid w:val="00267809"/>
    <w:rsid w:val="0027240E"/>
    <w:rsid w:val="0027298D"/>
    <w:rsid w:val="00273186"/>
    <w:rsid w:val="00274A8F"/>
    <w:rsid w:val="0027538E"/>
    <w:rsid w:val="002756B6"/>
    <w:rsid w:val="0027645E"/>
    <w:rsid w:val="00276945"/>
    <w:rsid w:val="00276A24"/>
    <w:rsid w:val="0028214C"/>
    <w:rsid w:val="0028456C"/>
    <w:rsid w:val="00287071"/>
    <w:rsid w:val="00290007"/>
    <w:rsid w:val="002A3859"/>
    <w:rsid w:val="002A563E"/>
    <w:rsid w:val="002A5EAA"/>
    <w:rsid w:val="002B0922"/>
    <w:rsid w:val="002B1A3E"/>
    <w:rsid w:val="002B3120"/>
    <w:rsid w:val="002B7688"/>
    <w:rsid w:val="002C07E9"/>
    <w:rsid w:val="002C088D"/>
    <w:rsid w:val="002C21B6"/>
    <w:rsid w:val="002C4F94"/>
    <w:rsid w:val="002C55BE"/>
    <w:rsid w:val="002D02FF"/>
    <w:rsid w:val="002D2782"/>
    <w:rsid w:val="002D4C5F"/>
    <w:rsid w:val="002D65FA"/>
    <w:rsid w:val="002E053A"/>
    <w:rsid w:val="002E23E2"/>
    <w:rsid w:val="002E2BA3"/>
    <w:rsid w:val="002E2CA9"/>
    <w:rsid w:val="002E5AFD"/>
    <w:rsid w:val="002F2044"/>
    <w:rsid w:val="002F4DBF"/>
    <w:rsid w:val="002F6BF2"/>
    <w:rsid w:val="003005F5"/>
    <w:rsid w:val="00303FD4"/>
    <w:rsid w:val="00305335"/>
    <w:rsid w:val="00305647"/>
    <w:rsid w:val="00314949"/>
    <w:rsid w:val="00317B1C"/>
    <w:rsid w:val="00320E63"/>
    <w:rsid w:val="00327336"/>
    <w:rsid w:val="00327AD0"/>
    <w:rsid w:val="00333231"/>
    <w:rsid w:val="003334C2"/>
    <w:rsid w:val="00337200"/>
    <w:rsid w:val="00340D4B"/>
    <w:rsid w:val="00341CDB"/>
    <w:rsid w:val="0034574D"/>
    <w:rsid w:val="0035223E"/>
    <w:rsid w:val="00352A76"/>
    <w:rsid w:val="0035336E"/>
    <w:rsid w:val="00354BE2"/>
    <w:rsid w:val="00357B6B"/>
    <w:rsid w:val="00360B22"/>
    <w:rsid w:val="00361CCF"/>
    <w:rsid w:val="003631F6"/>
    <w:rsid w:val="0036686C"/>
    <w:rsid w:val="00370919"/>
    <w:rsid w:val="00373150"/>
    <w:rsid w:val="00383910"/>
    <w:rsid w:val="0039070E"/>
    <w:rsid w:val="0039438B"/>
    <w:rsid w:val="0039449E"/>
    <w:rsid w:val="003958B3"/>
    <w:rsid w:val="003A38BD"/>
    <w:rsid w:val="003A7E62"/>
    <w:rsid w:val="003B1E22"/>
    <w:rsid w:val="003B2DD4"/>
    <w:rsid w:val="003B365B"/>
    <w:rsid w:val="003B55D7"/>
    <w:rsid w:val="003C0DD1"/>
    <w:rsid w:val="003C15CA"/>
    <w:rsid w:val="003C358B"/>
    <w:rsid w:val="003C3BF2"/>
    <w:rsid w:val="003C4B02"/>
    <w:rsid w:val="003C4D80"/>
    <w:rsid w:val="003D2060"/>
    <w:rsid w:val="003D53A7"/>
    <w:rsid w:val="003E27BA"/>
    <w:rsid w:val="003E6EBF"/>
    <w:rsid w:val="003E7646"/>
    <w:rsid w:val="003F0436"/>
    <w:rsid w:val="003F14B0"/>
    <w:rsid w:val="003F4F27"/>
    <w:rsid w:val="004000AD"/>
    <w:rsid w:val="004033DF"/>
    <w:rsid w:val="00403E70"/>
    <w:rsid w:val="004040C4"/>
    <w:rsid w:val="00404F08"/>
    <w:rsid w:val="00404FCC"/>
    <w:rsid w:val="0040733E"/>
    <w:rsid w:val="004114C6"/>
    <w:rsid w:val="00412DC7"/>
    <w:rsid w:val="00413EA2"/>
    <w:rsid w:val="00414795"/>
    <w:rsid w:val="00414DE0"/>
    <w:rsid w:val="00414E54"/>
    <w:rsid w:val="00415645"/>
    <w:rsid w:val="00415D79"/>
    <w:rsid w:val="00416ACF"/>
    <w:rsid w:val="00420739"/>
    <w:rsid w:val="00420A63"/>
    <w:rsid w:val="00427D46"/>
    <w:rsid w:val="004307F4"/>
    <w:rsid w:val="0043178D"/>
    <w:rsid w:val="0043360B"/>
    <w:rsid w:val="00435B27"/>
    <w:rsid w:val="004366C4"/>
    <w:rsid w:val="004433FF"/>
    <w:rsid w:val="00447509"/>
    <w:rsid w:val="00457567"/>
    <w:rsid w:val="004579C4"/>
    <w:rsid w:val="00460923"/>
    <w:rsid w:val="0046358C"/>
    <w:rsid w:val="004649E7"/>
    <w:rsid w:val="00465479"/>
    <w:rsid w:val="004675D1"/>
    <w:rsid w:val="0046770A"/>
    <w:rsid w:val="0047272D"/>
    <w:rsid w:val="0047298A"/>
    <w:rsid w:val="00474300"/>
    <w:rsid w:val="00477013"/>
    <w:rsid w:val="0047738E"/>
    <w:rsid w:val="00477C62"/>
    <w:rsid w:val="00480A68"/>
    <w:rsid w:val="004850D9"/>
    <w:rsid w:val="00487829"/>
    <w:rsid w:val="004909EC"/>
    <w:rsid w:val="00494B87"/>
    <w:rsid w:val="00496910"/>
    <w:rsid w:val="00497148"/>
    <w:rsid w:val="004A14F2"/>
    <w:rsid w:val="004A19EC"/>
    <w:rsid w:val="004A1F11"/>
    <w:rsid w:val="004A405A"/>
    <w:rsid w:val="004A6087"/>
    <w:rsid w:val="004B0D6B"/>
    <w:rsid w:val="004B3355"/>
    <w:rsid w:val="004B76CE"/>
    <w:rsid w:val="004B7A83"/>
    <w:rsid w:val="004C0F77"/>
    <w:rsid w:val="004C11AB"/>
    <w:rsid w:val="004C3BDB"/>
    <w:rsid w:val="004C649A"/>
    <w:rsid w:val="004D0A77"/>
    <w:rsid w:val="004D11DE"/>
    <w:rsid w:val="004D2AF5"/>
    <w:rsid w:val="004D2B99"/>
    <w:rsid w:val="004D47A6"/>
    <w:rsid w:val="004D7887"/>
    <w:rsid w:val="004E6EB9"/>
    <w:rsid w:val="004E6F7F"/>
    <w:rsid w:val="004E7078"/>
    <w:rsid w:val="004F080C"/>
    <w:rsid w:val="004F0834"/>
    <w:rsid w:val="004F18C7"/>
    <w:rsid w:val="004F7B80"/>
    <w:rsid w:val="005003FB"/>
    <w:rsid w:val="00500B2B"/>
    <w:rsid w:val="00504B0E"/>
    <w:rsid w:val="00504D72"/>
    <w:rsid w:val="005050C0"/>
    <w:rsid w:val="00506333"/>
    <w:rsid w:val="00511E44"/>
    <w:rsid w:val="0051324A"/>
    <w:rsid w:val="00516EFF"/>
    <w:rsid w:val="00517A0E"/>
    <w:rsid w:val="00521C16"/>
    <w:rsid w:val="00521E98"/>
    <w:rsid w:val="00522964"/>
    <w:rsid w:val="00522E18"/>
    <w:rsid w:val="00526A1A"/>
    <w:rsid w:val="00527A46"/>
    <w:rsid w:val="00530845"/>
    <w:rsid w:val="005348A3"/>
    <w:rsid w:val="005367D8"/>
    <w:rsid w:val="005422DE"/>
    <w:rsid w:val="00542D52"/>
    <w:rsid w:val="0054320B"/>
    <w:rsid w:val="0054364B"/>
    <w:rsid w:val="005453FB"/>
    <w:rsid w:val="0054694A"/>
    <w:rsid w:val="0054743C"/>
    <w:rsid w:val="00553B6F"/>
    <w:rsid w:val="005543B8"/>
    <w:rsid w:val="00554B6A"/>
    <w:rsid w:val="00555586"/>
    <w:rsid w:val="00556254"/>
    <w:rsid w:val="00557C8F"/>
    <w:rsid w:val="0056057E"/>
    <w:rsid w:val="0056356C"/>
    <w:rsid w:val="00563C1E"/>
    <w:rsid w:val="005662EA"/>
    <w:rsid w:val="00570967"/>
    <w:rsid w:val="00570EC9"/>
    <w:rsid w:val="00574948"/>
    <w:rsid w:val="00575E56"/>
    <w:rsid w:val="0058261C"/>
    <w:rsid w:val="00585BC0"/>
    <w:rsid w:val="00586B1E"/>
    <w:rsid w:val="00595AA7"/>
    <w:rsid w:val="005A0AB3"/>
    <w:rsid w:val="005A73B1"/>
    <w:rsid w:val="005B41AF"/>
    <w:rsid w:val="005B51B4"/>
    <w:rsid w:val="005B6C26"/>
    <w:rsid w:val="005C1F3A"/>
    <w:rsid w:val="005C222B"/>
    <w:rsid w:val="005C2CDC"/>
    <w:rsid w:val="005C3A4E"/>
    <w:rsid w:val="005C5A9D"/>
    <w:rsid w:val="005C5DBA"/>
    <w:rsid w:val="005D0254"/>
    <w:rsid w:val="005D4BB1"/>
    <w:rsid w:val="005D73DE"/>
    <w:rsid w:val="005D7D69"/>
    <w:rsid w:val="005E10B8"/>
    <w:rsid w:val="005E568B"/>
    <w:rsid w:val="005E7919"/>
    <w:rsid w:val="005E7A0B"/>
    <w:rsid w:val="005F396E"/>
    <w:rsid w:val="005F51C3"/>
    <w:rsid w:val="005F62E2"/>
    <w:rsid w:val="005F66B4"/>
    <w:rsid w:val="005F7787"/>
    <w:rsid w:val="005F7A0A"/>
    <w:rsid w:val="00602719"/>
    <w:rsid w:val="00604C1F"/>
    <w:rsid w:val="00604EE6"/>
    <w:rsid w:val="00605A2E"/>
    <w:rsid w:val="00622F7B"/>
    <w:rsid w:val="00624135"/>
    <w:rsid w:val="006256E7"/>
    <w:rsid w:val="00630CAD"/>
    <w:rsid w:val="0063630A"/>
    <w:rsid w:val="0064412F"/>
    <w:rsid w:val="00644F3F"/>
    <w:rsid w:val="006462BB"/>
    <w:rsid w:val="006467CA"/>
    <w:rsid w:val="0065576B"/>
    <w:rsid w:val="00661D3A"/>
    <w:rsid w:val="006709B5"/>
    <w:rsid w:val="00671C2A"/>
    <w:rsid w:val="00671F40"/>
    <w:rsid w:val="006725B1"/>
    <w:rsid w:val="00673AC1"/>
    <w:rsid w:val="00674F64"/>
    <w:rsid w:val="0068376F"/>
    <w:rsid w:val="00685A77"/>
    <w:rsid w:val="0069137F"/>
    <w:rsid w:val="00691A20"/>
    <w:rsid w:val="0069400C"/>
    <w:rsid w:val="00694510"/>
    <w:rsid w:val="00695204"/>
    <w:rsid w:val="00697123"/>
    <w:rsid w:val="006A0F9C"/>
    <w:rsid w:val="006A28CD"/>
    <w:rsid w:val="006A2B2F"/>
    <w:rsid w:val="006B006D"/>
    <w:rsid w:val="006B18B6"/>
    <w:rsid w:val="006B3E3B"/>
    <w:rsid w:val="006B5ECB"/>
    <w:rsid w:val="006B7847"/>
    <w:rsid w:val="006C0663"/>
    <w:rsid w:val="006C0BC5"/>
    <w:rsid w:val="006C0C75"/>
    <w:rsid w:val="006C576B"/>
    <w:rsid w:val="006C611E"/>
    <w:rsid w:val="006C6978"/>
    <w:rsid w:val="006D029F"/>
    <w:rsid w:val="006D1A0E"/>
    <w:rsid w:val="006D3AF1"/>
    <w:rsid w:val="006D4BA9"/>
    <w:rsid w:val="006D4CE5"/>
    <w:rsid w:val="006D5E11"/>
    <w:rsid w:val="006D6FE3"/>
    <w:rsid w:val="006E3741"/>
    <w:rsid w:val="006E44B4"/>
    <w:rsid w:val="006F1D3C"/>
    <w:rsid w:val="006F5E74"/>
    <w:rsid w:val="006F676D"/>
    <w:rsid w:val="00702004"/>
    <w:rsid w:val="0071294C"/>
    <w:rsid w:val="00717FDE"/>
    <w:rsid w:val="00720769"/>
    <w:rsid w:val="00720F49"/>
    <w:rsid w:val="00722D8A"/>
    <w:rsid w:val="00725D24"/>
    <w:rsid w:val="007270B6"/>
    <w:rsid w:val="007304CB"/>
    <w:rsid w:val="00731E7C"/>
    <w:rsid w:val="00734184"/>
    <w:rsid w:val="007351DD"/>
    <w:rsid w:val="0073664F"/>
    <w:rsid w:val="00740B1D"/>
    <w:rsid w:val="00740C51"/>
    <w:rsid w:val="007414BE"/>
    <w:rsid w:val="00741BE4"/>
    <w:rsid w:val="00741D60"/>
    <w:rsid w:val="00743729"/>
    <w:rsid w:val="00745B4E"/>
    <w:rsid w:val="00745B56"/>
    <w:rsid w:val="007539C2"/>
    <w:rsid w:val="00763D15"/>
    <w:rsid w:val="007675FF"/>
    <w:rsid w:val="00767740"/>
    <w:rsid w:val="00770F69"/>
    <w:rsid w:val="00773FCC"/>
    <w:rsid w:val="0078110D"/>
    <w:rsid w:val="0078184D"/>
    <w:rsid w:val="00786895"/>
    <w:rsid w:val="00792060"/>
    <w:rsid w:val="00792FC6"/>
    <w:rsid w:val="0079673F"/>
    <w:rsid w:val="00797CC8"/>
    <w:rsid w:val="007A0377"/>
    <w:rsid w:val="007A36D4"/>
    <w:rsid w:val="007A399D"/>
    <w:rsid w:val="007A3DB8"/>
    <w:rsid w:val="007A52A9"/>
    <w:rsid w:val="007B20A5"/>
    <w:rsid w:val="007B2781"/>
    <w:rsid w:val="007B4FFF"/>
    <w:rsid w:val="007B50A0"/>
    <w:rsid w:val="007B6141"/>
    <w:rsid w:val="007C00E8"/>
    <w:rsid w:val="007C11C9"/>
    <w:rsid w:val="007C426F"/>
    <w:rsid w:val="007C59F1"/>
    <w:rsid w:val="007C5C44"/>
    <w:rsid w:val="007C7519"/>
    <w:rsid w:val="007C7883"/>
    <w:rsid w:val="007C7C25"/>
    <w:rsid w:val="007D2999"/>
    <w:rsid w:val="007D3575"/>
    <w:rsid w:val="007D63BB"/>
    <w:rsid w:val="007E56C6"/>
    <w:rsid w:val="007E7041"/>
    <w:rsid w:val="007F1947"/>
    <w:rsid w:val="007F22D5"/>
    <w:rsid w:val="007F27DB"/>
    <w:rsid w:val="007F3072"/>
    <w:rsid w:val="00804D69"/>
    <w:rsid w:val="00805550"/>
    <w:rsid w:val="00806CF3"/>
    <w:rsid w:val="00811C78"/>
    <w:rsid w:val="00813AE7"/>
    <w:rsid w:val="00813B66"/>
    <w:rsid w:val="00814848"/>
    <w:rsid w:val="0081732C"/>
    <w:rsid w:val="00824C14"/>
    <w:rsid w:val="00826062"/>
    <w:rsid w:val="00827F98"/>
    <w:rsid w:val="008326FF"/>
    <w:rsid w:val="00836C7A"/>
    <w:rsid w:val="008371AB"/>
    <w:rsid w:val="00840612"/>
    <w:rsid w:val="00842778"/>
    <w:rsid w:val="00843D18"/>
    <w:rsid w:val="00844A69"/>
    <w:rsid w:val="00847C67"/>
    <w:rsid w:val="00847CD2"/>
    <w:rsid w:val="008502CE"/>
    <w:rsid w:val="008505B9"/>
    <w:rsid w:val="008518A6"/>
    <w:rsid w:val="00860408"/>
    <w:rsid w:val="00861E70"/>
    <w:rsid w:val="00862E51"/>
    <w:rsid w:val="0086366B"/>
    <w:rsid w:val="00863F14"/>
    <w:rsid w:val="008669F7"/>
    <w:rsid w:val="008706D0"/>
    <w:rsid w:val="0087181F"/>
    <w:rsid w:val="0087195B"/>
    <w:rsid w:val="00871CF1"/>
    <w:rsid w:val="00873863"/>
    <w:rsid w:val="0087386B"/>
    <w:rsid w:val="008743DD"/>
    <w:rsid w:val="00874A07"/>
    <w:rsid w:val="0087572C"/>
    <w:rsid w:val="00883131"/>
    <w:rsid w:val="00884583"/>
    <w:rsid w:val="00886AB1"/>
    <w:rsid w:val="008926A8"/>
    <w:rsid w:val="00893E79"/>
    <w:rsid w:val="00893EFF"/>
    <w:rsid w:val="00894588"/>
    <w:rsid w:val="00896880"/>
    <w:rsid w:val="008A76E3"/>
    <w:rsid w:val="008B0FEB"/>
    <w:rsid w:val="008B0FFC"/>
    <w:rsid w:val="008B300A"/>
    <w:rsid w:val="008B3FCD"/>
    <w:rsid w:val="008B729A"/>
    <w:rsid w:val="008C08C8"/>
    <w:rsid w:val="008C0B5B"/>
    <w:rsid w:val="008C3D71"/>
    <w:rsid w:val="008C792E"/>
    <w:rsid w:val="008D2124"/>
    <w:rsid w:val="008D23A8"/>
    <w:rsid w:val="008D26A6"/>
    <w:rsid w:val="008D3EFD"/>
    <w:rsid w:val="008D76A3"/>
    <w:rsid w:val="008E0035"/>
    <w:rsid w:val="008E2C8F"/>
    <w:rsid w:val="008F30A4"/>
    <w:rsid w:val="008F4117"/>
    <w:rsid w:val="00902E3E"/>
    <w:rsid w:val="00905777"/>
    <w:rsid w:val="00906244"/>
    <w:rsid w:val="00906DDA"/>
    <w:rsid w:val="00911ED8"/>
    <w:rsid w:val="00915CB8"/>
    <w:rsid w:val="009161D9"/>
    <w:rsid w:val="00921834"/>
    <w:rsid w:val="009232FD"/>
    <w:rsid w:val="009248C6"/>
    <w:rsid w:val="00924F3F"/>
    <w:rsid w:val="0093007F"/>
    <w:rsid w:val="00935715"/>
    <w:rsid w:val="0093696C"/>
    <w:rsid w:val="00940D39"/>
    <w:rsid w:val="00942806"/>
    <w:rsid w:val="00942B9A"/>
    <w:rsid w:val="00944AE5"/>
    <w:rsid w:val="009453AF"/>
    <w:rsid w:val="009475FA"/>
    <w:rsid w:val="00954550"/>
    <w:rsid w:val="00955DFB"/>
    <w:rsid w:val="009560E6"/>
    <w:rsid w:val="00963567"/>
    <w:rsid w:val="009666DF"/>
    <w:rsid w:val="009679B0"/>
    <w:rsid w:val="00972838"/>
    <w:rsid w:val="00974C5D"/>
    <w:rsid w:val="00980930"/>
    <w:rsid w:val="00981280"/>
    <w:rsid w:val="009847A1"/>
    <w:rsid w:val="009865BB"/>
    <w:rsid w:val="009877D6"/>
    <w:rsid w:val="00997143"/>
    <w:rsid w:val="009A06C6"/>
    <w:rsid w:val="009A60C1"/>
    <w:rsid w:val="009A6B4D"/>
    <w:rsid w:val="009A728C"/>
    <w:rsid w:val="009A7F26"/>
    <w:rsid w:val="009B3537"/>
    <w:rsid w:val="009B4CBD"/>
    <w:rsid w:val="009B5B42"/>
    <w:rsid w:val="009C50B4"/>
    <w:rsid w:val="009C7780"/>
    <w:rsid w:val="009D0409"/>
    <w:rsid w:val="009D0F78"/>
    <w:rsid w:val="009D1040"/>
    <w:rsid w:val="009D50A0"/>
    <w:rsid w:val="009D53CF"/>
    <w:rsid w:val="009D7A11"/>
    <w:rsid w:val="009D7B3F"/>
    <w:rsid w:val="009E0199"/>
    <w:rsid w:val="009E0ECC"/>
    <w:rsid w:val="009E189A"/>
    <w:rsid w:val="009E5DB0"/>
    <w:rsid w:val="009F39AF"/>
    <w:rsid w:val="009F6BED"/>
    <w:rsid w:val="00A03009"/>
    <w:rsid w:val="00A07A03"/>
    <w:rsid w:val="00A10688"/>
    <w:rsid w:val="00A12546"/>
    <w:rsid w:val="00A17055"/>
    <w:rsid w:val="00A26320"/>
    <w:rsid w:val="00A2778D"/>
    <w:rsid w:val="00A3585E"/>
    <w:rsid w:val="00A36AC4"/>
    <w:rsid w:val="00A37508"/>
    <w:rsid w:val="00A3757F"/>
    <w:rsid w:val="00A41DC8"/>
    <w:rsid w:val="00A46DB4"/>
    <w:rsid w:val="00A4706E"/>
    <w:rsid w:val="00A5052E"/>
    <w:rsid w:val="00A51DB0"/>
    <w:rsid w:val="00A54224"/>
    <w:rsid w:val="00A568F4"/>
    <w:rsid w:val="00A60FD3"/>
    <w:rsid w:val="00A61BFB"/>
    <w:rsid w:val="00A631CB"/>
    <w:rsid w:val="00A63988"/>
    <w:rsid w:val="00A6445E"/>
    <w:rsid w:val="00A64FE4"/>
    <w:rsid w:val="00A6788F"/>
    <w:rsid w:val="00A71911"/>
    <w:rsid w:val="00A82146"/>
    <w:rsid w:val="00A83A72"/>
    <w:rsid w:val="00A84333"/>
    <w:rsid w:val="00A8724B"/>
    <w:rsid w:val="00A91075"/>
    <w:rsid w:val="00A91557"/>
    <w:rsid w:val="00A95F81"/>
    <w:rsid w:val="00A95FBE"/>
    <w:rsid w:val="00A97CCD"/>
    <w:rsid w:val="00AA0924"/>
    <w:rsid w:val="00AA4E63"/>
    <w:rsid w:val="00AA6A64"/>
    <w:rsid w:val="00AA6CF8"/>
    <w:rsid w:val="00AB0140"/>
    <w:rsid w:val="00AB1FB9"/>
    <w:rsid w:val="00AB2929"/>
    <w:rsid w:val="00AB304F"/>
    <w:rsid w:val="00AB38C9"/>
    <w:rsid w:val="00AC17AF"/>
    <w:rsid w:val="00AC1BB0"/>
    <w:rsid w:val="00AC6612"/>
    <w:rsid w:val="00AC6958"/>
    <w:rsid w:val="00AD02C4"/>
    <w:rsid w:val="00AD3A08"/>
    <w:rsid w:val="00AD3D85"/>
    <w:rsid w:val="00AD7C78"/>
    <w:rsid w:val="00AE10D7"/>
    <w:rsid w:val="00AE3C01"/>
    <w:rsid w:val="00AE700C"/>
    <w:rsid w:val="00AE728D"/>
    <w:rsid w:val="00AF22B3"/>
    <w:rsid w:val="00AF2A41"/>
    <w:rsid w:val="00AF52AB"/>
    <w:rsid w:val="00B0072C"/>
    <w:rsid w:val="00B052D3"/>
    <w:rsid w:val="00B0714C"/>
    <w:rsid w:val="00B07E79"/>
    <w:rsid w:val="00B13928"/>
    <w:rsid w:val="00B143EF"/>
    <w:rsid w:val="00B16985"/>
    <w:rsid w:val="00B16FEB"/>
    <w:rsid w:val="00B20764"/>
    <w:rsid w:val="00B23B91"/>
    <w:rsid w:val="00B2448F"/>
    <w:rsid w:val="00B30BCB"/>
    <w:rsid w:val="00B31200"/>
    <w:rsid w:val="00B31971"/>
    <w:rsid w:val="00B347B1"/>
    <w:rsid w:val="00B365A5"/>
    <w:rsid w:val="00B36D62"/>
    <w:rsid w:val="00B42441"/>
    <w:rsid w:val="00B44ACC"/>
    <w:rsid w:val="00B44C32"/>
    <w:rsid w:val="00B45C73"/>
    <w:rsid w:val="00B50327"/>
    <w:rsid w:val="00B51414"/>
    <w:rsid w:val="00B52CC8"/>
    <w:rsid w:val="00B5561E"/>
    <w:rsid w:val="00B5571B"/>
    <w:rsid w:val="00B6232B"/>
    <w:rsid w:val="00B62EAC"/>
    <w:rsid w:val="00B63245"/>
    <w:rsid w:val="00B64B9D"/>
    <w:rsid w:val="00B70967"/>
    <w:rsid w:val="00B764D4"/>
    <w:rsid w:val="00B800D8"/>
    <w:rsid w:val="00B80931"/>
    <w:rsid w:val="00B85C44"/>
    <w:rsid w:val="00B9178A"/>
    <w:rsid w:val="00B919E5"/>
    <w:rsid w:val="00B96A55"/>
    <w:rsid w:val="00BA167F"/>
    <w:rsid w:val="00BA4279"/>
    <w:rsid w:val="00BA607E"/>
    <w:rsid w:val="00BB4569"/>
    <w:rsid w:val="00BC306D"/>
    <w:rsid w:val="00BC3241"/>
    <w:rsid w:val="00BC663E"/>
    <w:rsid w:val="00BC7C34"/>
    <w:rsid w:val="00BD2568"/>
    <w:rsid w:val="00BD40A7"/>
    <w:rsid w:val="00BD7C7E"/>
    <w:rsid w:val="00BE0BD7"/>
    <w:rsid w:val="00BE1457"/>
    <w:rsid w:val="00BE32C6"/>
    <w:rsid w:val="00BE4047"/>
    <w:rsid w:val="00BE4B33"/>
    <w:rsid w:val="00BE5F46"/>
    <w:rsid w:val="00BF1FAC"/>
    <w:rsid w:val="00BF26EE"/>
    <w:rsid w:val="00BF74B2"/>
    <w:rsid w:val="00C03A3B"/>
    <w:rsid w:val="00C05646"/>
    <w:rsid w:val="00C06FBC"/>
    <w:rsid w:val="00C10308"/>
    <w:rsid w:val="00C105DA"/>
    <w:rsid w:val="00C12A13"/>
    <w:rsid w:val="00C12C20"/>
    <w:rsid w:val="00C145D2"/>
    <w:rsid w:val="00C157A3"/>
    <w:rsid w:val="00C168C9"/>
    <w:rsid w:val="00C243AE"/>
    <w:rsid w:val="00C250D2"/>
    <w:rsid w:val="00C27DFA"/>
    <w:rsid w:val="00C34435"/>
    <w:rsid w:val="00C4168F"/>
    <w:rsid w:val="00C41ADB"/>
    <w:rsid w:val="00C43248"/>
    <w:rsid w:val="00C46654"/>
    <w:rsid w:val="00C46A86"/>
    <w:rsid w:val="00C52052"/>
    <w:rsid w:val="00C5539E"/>
    <w:rsid w:val="00C56135"/>
    <w:rsid w:val="00C613D6"/>
    <w:rsid w:val="00C72130"/>
    <w:rsid w:val="00C733A9"/>
    <w:rsid w:val="00C777D1"/>
    <w:rsid w:val="00C77F35"/>
    <w:rsid w:val="00C77FBF"/>
    <w:rsid w:val="00C800C1"/>
    <w:rsid w:val="00C80875"/>
    <w:rsid w:val="00C81AFF"/>
    <w:rsid w:val="00C82714"/>
    <w:rsid w:val="00C82859"/>
    <w:rsid w:val="00C83475"/>
    <w:rsid w:val="00C83AAF"/>
    <w:rsid w:val="00C86CE0"/>
    <w:rsid w:val="00C87220"/>
    <w:rsid w:val="00C937B9"/>
    <w:rsid w:val="00C9452E"/>
    <w:rsid w:val="00CA0924"/>
    <w:rsid w:val="00CA748C"/>
    <w:rsid w:val="00CB4D3E"/>
    <w:rsid w:val="00CB5260"/>
    <w:rsid w:val="00CB6812"/>
    <w:rsid w:val="00CC06AA"/>
    <w:rsid w:val="00CC1749"/>
    <w:rsid w:val="00CC196A"/>
    <w:rsid w:val="00CC50A5"/>
    <w:rsid w:val="00CC72F5"/>
    <w:rsid w:val="00CC77FE"/>
    <w:rsid w:val="00CD1D9E"/>
    <w:rsid w:val="00CD2CBE"/>
    <w:rsid w:val="00CD5206"/>
    <w:rsid w:val="00CD55BD"/>
    <w:rsid w:val="00CD7665"/>
    <w:rsid w:val="00CE0114"/>
    <w:rsid w:val="00CE04B0"/>
    <w:rsid w:val="00CE09E4"/>
    <w:rsid w:val="00CE1631"/>
    <w:rsid w:val="00CE37D0"/>
    <w:rsid w:val="00CE6554"/>
    <w:rsid w:val="00CF0752"/>
    <w:rsid w:val="00CF1E56"/>
    <w:rsid w:val="00CF4599"/>
    <w:rsid w:val="00D00F26"/>
    <w:rsid w:val="00D03979"/>
    <w:rsid w:val="00D138A6"/>
    <w:rsid w:val="00D167E6"/>
    <w:rsid w:val="00D22048"/>
    <w:rsid w:val="00D22361"/>
    <w:rsid w:val="00D23887"/>
    <w:rsid w:val="00D243CE"/>
    <w:rsid w:val="00D25297"/>
    <w:rsid w:val="00D269BA"/>
    <w:rsid w:val="00D304DD"/>
    <w:rsid w:val="00D3162A"/>
    <w:rsid w:val="00D33CA1"/>
    <w:rsid w:val="00D34EE8"/>
    <w:rsid w:val="00D35439"/>
    <w:rsid w:val="00D409EF"/>
    <w:rsid w:val="00D40DCB"/>
    <w:rsid w:val="00D41291"/>
    <w:rsid w:val="00D4778E"/>
    <w:rsid w:val="00D51688"/>
    <w:rsid w:val="00D525CB"/>
    <w:rsid w:val="00D53376"/>
    <w:rsid w:val="00D561B9"/>
    <w:rsid w:val="00D56CE1"/>
    <w:rsid w:val="00D60AC4"/>
    <w:rsid w:val="00D674DD"/>
    <w:rsid w:val="00D700F1"/>
    <w:rsid w:val="00D720E8"/>
    <w:rsid w:val="00D739DD"/>
    <w:rsid w:val="00D747C4"/>
    <w:rsid w:val="00D74C59"/>
    <w:rsid w:val="00D763E1"/>
    <w:rsid w:val="00D8188A"/>
    <w:rsid w:val="00D82666"/>
    <w:rsid w:val="00D84A34"/>
    <w:rsid w:val="00D860DF"/>
    <w:rsid w:val="00D93B79"/>
    <w:rsid w:val="00DA0505"/>
    <w:rsid w:val="00DB335C"/>
    <w:rsid w:val="00DB73E7"/>
    <w:rsid w:val="00DC5CD3"/>
    <w:rsid w:val="00DD07FB"/>
    <w:rsid w:val="00DD0BAA"/>
    <w:rsid w:val="00DD0D7C"/>
    <w:rsid w:val="00DD3631"/>
    <w:rsid w:val="00DD3F54"/>
    <w:rsid w:val="00DD4CD4"/>
    <w:rsid w:val="00DE3388"/>
    <w:rsid w:val="00DE49AC"/>
    <w:rsid w:val="00DE5F98"/>
    <w:rsid w:val="00DF06C5"/>
    <w:rsid w:val="00E016F7"/>
    <w:rsid w:val="00E04C63"/>
    <w:rsid w:val="00E05135"/>
    <w:rsid w:val="00E06F5F"/>
    <w:rsid w:val="00E0705B"/>
    <w:rsid w:val="00E07C4D"/>
    <w:rsid w:val="00E10FBE"/>
    <w:rsid w:val="00E11A6C"/>
    <w:rsid w:val="00E11F14"/>
    <w:rsid w:val="00E14A32"/>
    <w:rsid w:val="00E15BCD"/>
    <w:rsid w:val="00E17052"/>
    <w:rsid w:val="00E24979"/>
    <w:rsid w:val="00E25A8F"/>
    <w:rsid w:val="00E26E0F"/>
    <w:rsid w:val="00E3061F"/>
    <w:rsid w:val="00E35A6B"/>
    <w:rsid w:val="00E37E55"/>
    <w:rsid w:val="00E40BA8"/>
    <w:rsid w:val="00E4210C"/>
    <w:rsid w:val="00E43F00"/>
    <w:rsid w:val="00E4479A"/>
    <w:rsid w:val="00E44DBC"/>
    <w:rsid w:val="00E46BE8"/>
    <w:rsid w:val="00E478BC"/>
    <w:rsid w:val="00E51631"/>
    <w:rsid w:val="00E51E71"/>
    <w:rsid w:val="00E520A3"/>
    <w:rsid w:val="00E524BC"/>
    <w:rsid w:val="00E5371E"/>
    <w:rsid w:val="00E53AD5"/>
    <w:rsid w:val="00E551ED"/>
    <w:rsid w:val="00E568D3"/>
    <w:rsid w:val="00E63731"/>
    <w:rsid w:val="00E71A55"/>
    <w:rsid w:val="00E744C9"/>
    <w:rsid w:val="00E8367D"/>
    <w:rsid w:val="00E86EC4"/>
    <w:rsid w:val="00E90869"/>
    <w:rsid w:val="00E91459"/>
    <w:rsid w:val="00E9269E"/>
    <w:rsid w:val="00E950E8"/>
    <w:rsid w:val="00E96101"/>
    <w:rsid w:val="00E97BE9"/>
    <w:rsid w:val="00EA0A24"/>
    <w:rsid w:val="00EA24C5"/>
    <w:rsid w:val="00EA31DA"/>
    <w:rsid w:val="00EA3AA1"/>
    <w:rsid w:val="00EA3E77"/>
    <w:rsid w:val="00EA419D"/>
    <w:rsid w:val="00EA44D8"/>
    <w:rsid w:val="00EA606A"/>
    <w:rsid w:val="00EA6CC0"/>
    <w:rsid w:val="00EB6961"/>
    <w:rsid w:val="00EB71C7"/>
    <w:rsid w:val="00EB7B48"/>
    <w:rsid w:val="00EB7EF9"/>
    <w:rsid w:val="00ED263A"/>
    <w:rsid w:val="00ED289F"/>
    <w:rsid w:val="00ED3C15"/>
    <w:rsid w:val="00ED501B"/>
    <w:rsid w:val="00ED5EC6"/>
    <w:rsid w:val="00EE0E5A"/>
    <w:rsid w:val="00EE16B7"/>
    <w:rsid w:val="00EE31BC"/>
    <w:rsid w:val="00EE3229"/>
    <w:rsid w:val="00EE3415"/>
    <w:rsid w:val="00EE42EE"/>
    <w:rsid w:val="00EE59DB"/>
    <w:rsid w:val="00EE61FC"/>
    <w:rsid w:val="00EF01F4"/>
    <w:rsid w:val="00EF2AA5"/>
    <w:rsid w:val="00EF450E"/>
    <w:rsid w:val="00EF4E20"/>
    <w:rsid w:val="00EF5C56"/>
    <w:rsid w:val="00EF740B"/>
    <w:rsid w:val="00F007AA"/>
    <w:rsid w:val="00F00C7D"/>
    <w:rsid w:val="00F02FF3"/>
    <w:rsid w:val="00F04C61"/>
    <w:rsid w:val="00F14D68"/>
    <w:rsid w:val="00F1562C"/>
    <w:rsid w:val="00F15BAF"/>
    <w:rsid w:val="00F23425"/>
    <w:rsid w:val="00F31879"/>
    <w:rsid w:val="00F3259B"/>
    <w:rsid w:val="00F36974"/>
    <w:rsid w:val="00F40193"/>
    <w:rsid w:val="00F40D58"/>
    <w:rsid w:val="00F44C38"/>
    <w:rsid w:val="00F457FB"/>
    <w:rsid w:val="00F51E76"/>
    <w:rsid w:val="00F52721"/>
    <w:rsid w:val="00F56D19"/>
    <w:rsid w:val="00F63460"/>
    <w:rsid w:val="00F65F6D"/>
    <w:rsid w:val="00F70124"/>
    <w:rsid w:val="00F7265C"/>
    <w:rsid w:val="00F72CC4"/>
    <w:rsid w:val="00F76D11"/>
    <w:rsid w:val="00F76F9B"/>
    <w:rsid w:val="00F80D5A"/>
    <w:rsid w:val="00F81414"/>
    <w:rsid w:val="00F83114"/>
    <w:rsid w:val="00F83697"/>
    <w:rsid w:val="00F84408"/>
    <w:rsid w:val="00F85432"/>
    <w:rsid w:val="00F85DA1"/>
    <w:rsid w:val="00F86AD5"/>
    <w:rsid w:val="00F91616"/>
    <w:rsid w:val="00F96A6E"/>
    <w:rsid w:val="00F97FDA"/>
    <w:rsid w:val="00FA09BD"/>
    <w:rsid w:val="00FA1AD1"/>
    <w:rsid w:val="00FA32F1"/>
    <w:rsid w:val="00FA52FC"/>
    <w:rsid w:val="00FA6F26"/>
    <w:rsid w:val="00FB0F83"/>
    <w:rsid w:val="00FB6DF5"/>
    <w:rsid w:val="00FC1113"/>
    <w:rsid w:val="00FC4F65"/>
    <w:rsid w:val="00FC6BBC"/>
    <w:rsid w:val="00FC6C5B"/>
    <w:rsid w:val="00FD07ED"/>
    <w:rsid w:val="00FD26F1"/>
    <w:rsid w:val="00FD494B"/>
    <w:rsid w:val="00FD7994"/>
    <w:rsid w:val="00FE2CA8"/>
    <w:rsid w:val="00FE3A3E"/>
    <w:rsid w:val="00FE4B39"/>
    <w:rsid w:val="00FE5E70"/>
    <w:rsid w:val="00FE68D1"/>
    <w:rsid w:val="00FE71ED"/>
    <w:rsid w:val="00FF3807"/>
    <w:rsid w:val="00FF3C0C"/>
    <w:rsid w:val="00FF49CD"/>
    <w:rsid w:val="00FF4A76"/>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nhideWhenUsed/>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3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basedOn w:val="Normal"/>
    <w:link w:val="NormalWebChar"/>
    <w:uiPriority w:val="99"/>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1F2A52"/>
    <w:pPr>
      <w:spacing w:before="0" w:after="80" w:line="240" w:lineRule="auto"/>
    </w:pPr>
    <w:rPr>
      <w:color w:val="auto"/>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1F2A52"/>
    <w:rPr>
      <w:rFonts w:ascii="Calibri" w:hAnsi="Calibri" w:cs="Calibri"/>
      <w:i/>
      <w:iCs/>
      <w:color w:val="000000"/>
      <w:sz w:val="24"/>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B13928"/>
    <w:pPr>
      <w:spacing w:before="160" w:after="60" w:line="240" w:lineRule="auto"/>
      <w:jc w:val="left"/>
    </w:pPr>
    <w:rPr>
      <w:color w:val="auto"/>
      <w:lang w:val="pt-BR"/>
    </w:rPr>
  </w:style>
  <w:style w:type="character" w:customStyle="1" w:styleId="NormalWebChar">
    <w:name w:val="Normal (Web) Char"/>
    <w:basedOn w:val="Fontepargpadro"/>
    <w:link w:val="NormalWeb"/>
    <w:uiPriority w:val="99"/>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B13928"/>
    <w:rPr>
      <w:rFonts w:ascii="Calibri" w:hAnsi="Calibri" w:cs="Calibri"/>
      <w:b/>
      <w:bCs/>
      <w:smallCaps/>
      <w:color w:val="000000"/>
      <w:sz w:val="24"/>
      <w:szCs w:val="24"/>
      <w:lang w:val="en-GB"/>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1865B1"/>
    <w:pPr>
      <w:spacing w:before="120" w:after="60" w:line="240" w:lineRule="auto"/>
    </w:pPr>
    <w:rPr>
      <w:color w:val="auto"/>
      <w:spacing w:val="-4"/>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E4479A"/>
    <w:pPr>
      <w:spacing w:before="60" w:after="60" w:line="240" w:lineRule="auto"/>
      <w:ind w:left="1701"/>
    </w:pPr>
    <w:rPr>
      <w:color w:val="auto"/>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1865B1"/>
    <w:rPr>
      <w:rFonts w:ascii="Calibri" w:hAnsi="Calibri" w:cs="Calibri"/>
      <w:b/>
      <w:bCs/>
      <w:color w:val="000000"/>
      <w:spacing w:val="-4"/>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E4479A"/>
    <w:rPr>
      <w:rFonts w:ascii="Calibri" w:hAnsi="Calibri" w:cs="Calibri"/>
      <w:i/>
      <w:iCs/>
      <w:color w:val="000000"/>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semiHidden/>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99"/>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99"/>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uiPriority w:val="99"/>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iPriority w:val="99"/>
    <w:unhideWhenUsed/>
    <w:rsid w:val="00570967"/>
    <w:pPr>
      <w:spacing w:after="120" w:line="480" w:lineRule="auto"/>
      <w:ind w:left="283"/>
    </w:pPr>
  </w:style>
  <w:style w:type="character" w:customStyle="1" w:styleId="Recuodecorpodetexto2Char">
    <w:name w:val="Recuo de corpo de texto 2 Char"/>
    <w:basedOn w:val="Fontepargpadro"/>
    <w:link w:val="Recuodecorpodetexto2"/>
    <w:uiPriority w:val="99"/>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iPriority w:val="99"/>
    <w:unhideWhenUsed/>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semiHidden/>
    <w:unhideWhenUsed/>
    <w:rsid w:val="00AD02C4"/>
    <w:rPr>
      <w:sz w:val="16"/>
      <w:szCs w:val="16"/>
    </w:rPr>
  </w:style>
  <w:style w:type="paragraph" w:styleId="Assuntodocomentrio">
    <w:name w:val="annotation subject"/>
    <w:basedOn w:val="Textodecomentrio"/>
    <w:next w:val="Textodecomentrio"/>
    <w:link w:val="AssuntodocomentrioChar"/>
    <w:uiPriority w:val="99"/>
    <w:semiHidden/>
    <w:unhideWhenUsed/>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semiHidden/>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numbering" w:customStyle="1" w:styleId="EstiloImportado2">
    <w:name w:val="Estilo Importado 2"/>
    <w:rsid w:val="00886AB1"/>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39"/>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uiPriority w:val="99"/>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SimplesTabela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mplesTabela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semiHidden/>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SimplesTabela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emlista1">
    <w:name w:val="Sem lista1"/>
    <w:next w:val="Semlista"/>
    <w:uiPriority w:val="99"/>
    <w:semiHidden/>
    <w:unhideWhenUsed/>
    <w:rsid w:val="00EA419D"/>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SimplesTabela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emlista11">
    <w:name w:val="Sem lista11"/>
    <w:next w:val="Semlista"/>
    <w:uiPriority w:val="99"/>
    <w:semiHidden/>
    <w:unhideWhenUsed/>
    <w:rsid w:val="00EA419D"/>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numbering" w:customStyle="1" w:styleId="Semlista2">
    <w:name w:val="Sem lista2"/>
    <w:next w:val="Semlista"/>
    <w:uiPriority w:val="99"/>
    <w:semiHidden/>
    <w:unhideWhenUsed/>
    <w:rsid w:val="00EA419D"/>
  </w:style>
  <w:style w:type="table" w:customStyle="1" w:styleId="TabelaSimples31">
    <w:name w:val="Tabela Simples 31"/>
    <w:basedOn w:val="Tabelanormal"/>
    <w:next w:val="SimplesTabela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emlista3">
    <w:name w:val="Sem lista3"/>
    <w:next w:val="Semlista"/>
    <w:uiPriority w:val="99"/>
    <w:semiHidden/>
    <w:unhideWhenUsed/>
    <w:rsid w:val="00EA419D"/>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numbering" w:customStyle="1" w:styleId="Semlista4">
    <w:name w:val="Sem lista4"/>
    <w:next w:val="Semlista"/>
    <w:uiPriority w:val="99"/>
    <w:semiHidden/>
    <w:unhideWhenUsed/>
    <w:rsid w:val="00EA419D"/>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3"/>
      </w:numPr>
    </w:pPr>
  </w:style>
  <w:style w:type="character" w:customStyle="1" w:styleId="Hyperlink3">
    <w:name w:val="Hyperlink.3"/>
    <w:basedOn w:val="Nenhum"/>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rsid w:val="00B0714C"/>
    <w:rPr>
      <w:rFonts w:ascii="ACaslonPro-Regular" w:hAnsi="ACaslonPro-Regular" w:hint="default"/>
      <w:b w:val="0"/>
      <w:bCs w:val="0"/>
      <w:i w:val="0"/>
      <w:iCs w:val="0"/>
      <w:color w:val="000000"/>
      <w:sz w:val="20"/>
      <w:szCs w:val="20"/>
    </w:rPr>
  </w:style>
  <w:style w:type="character" w:customStyle="1" w:styleId="cit">
    <w:name w:val="cit"/>
    <w:basedOn w:val="Fontepargpadro"/>
    <w:rsid w:val="004F080C"/>
  </w:style>
  <w:style w:type="character" w:customStyle="1" w:styleId="citation-doi">
    <w:name w:val="citation-doi"/>
    <w:basedOn w:val="Fontepargpadro"/>
    <w:rsid w:val="004F080C"/>
  </w:style>
  <w:style w:type="character" w:customStyle="1" w:styleId="secondary-date">
    <w:name w:val="secondary-date"/>
    <w:basedOn w:val="Fontepargpadro"/>
    <w:rsid w:val="004F080C"/>
  </w:style>
  <w:style w:type="character" w:customStyle="1" w:styleId="id-label">
    <w:name w:val="id-label"/>
    <w:basedOn w:val="Fontepargpadro"/>
    <w:rsid w:val="004F080C"/>
  </w:style>
  <w:style w:type="character" w:customStyle="1" w:styleId="muxgbd">
    <w:name w:val="muxgbd"/>
    <w:basedOn w:val="Fontepargpadro"/>
    <w:rsid w:val="004F080C"/>
  </w:style>
  <w:style w:type="character" w:customStyle="1" w:styleId="fm-vol-iss-date">
    <w:name w:val="fm-vol-iss-date"/>
    <w:basedOn w:val="Fontepargpadro"/>
    <w:rsid w:val="004F080C"/>
  </w:style>
  <w:style w:type="character" w:customStyle="1" w:styleId="doi">
    <w:name w:val="doi"/>
    <w:basedOn w:val="Fontepargpadro"/>
    <w:rsid w:val="004F080C"/>
  </w:style>
  <w:style w:type="character" w:customStyle="1" w:styleId="value">
    <w:name w:val="value"/>
    <w:basedOn w:val="Fontepargpadro"/>
    <w:rsid w:val="004F080C"/>
  </w:style>
  <w:style w:type="character" w:customStyle="1" w:styleId="authors-list-item">
    <w:name w:val="authors-list-item"/>
    <w:basedOn w:val="Fontepargpadro"/>
    <w:rsid w:val="004F080C"/>
  </w:style>
  <w:style w:type="character" w:customStyle="1" w:styleId="author-sup-separator">
    <w:name w:val="author-sup-separator"/>
    <w:basedOn w:val="Fontepargpadro"/>
    <w:rsid w:val="004F080C"/>
  </w:style>
  <w:style w:type="character" w:customStyle="1" w:styleId="comma">
    <w:name w:val="comma"/>
    <w:basedOn w:val="Fontepargpadro"/>
    <w:rsid w:val="004F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3052-158X" TargetMode="External"/><Relationship Id="rId18" Type="http://schemas.openxmlformats.org/officeDocument/2006/relationships/header" Target="header2.xml"/><Relationship Id="rId26" Type="http://schemas.openxmlformats.org/officeDocument/2006/relationships/hyperlink" Target="http://www.portalmedico.org.br/resolucoes/cfm/2009/1931_2009.htm" TargetMode="External"/><Relationship Id="rId39" Type="http://schemas.openxmlformats.org/officeDocument/2006/relationships/hyperlink" Target="https://doi.org/10.1111/j.1526-4637.2009.00648.x" TargetMode="External"/><Relationship Id="rId21" Type="http://schemas.openxmlformats.org/officeDocument/2006/relationships/hyperlink" Target="https://doi.org/10.1590/0100-6991e-20181974" TargetMode="External"/><Relationship Id="rId34" Type="http://schemas.openxmlformats.org/officeDocument/2006/relationships/hyperlink" Target="https://doi:10.1016/j.htct.2018.08.001" TargetMode="External"/><Relationship Id="rId42" Type="http://schemas.openxmlformats.org/officeDocument/2006/relationships/hyperlink" Target="https://doi.org/10.1111/anae.14441" TargetMode="External"/><Relationship Id="rId47" Type="http://schemas.openxmlformats.org/officeDocument/2006/relationships/hyperlink" Target="https://doi.org/10.2450/2016.0229-15" TargetMode="External"/><Relationship Id="rId50" Type="http://schemas.openxmlformats.org/officeDocument/2006/relationships/hyperlink" Target="https://pesquisa.bvsalud.org/portal/resource/pt/ibc-04388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revistasfacesa.senaaires.com.br/index.php/iniciacao-cientifica/article/view/317/254" TargetMode="External"/><Relationship Id="rId11" Type="http://schemas.openxmlformats.org/officeDocument/2006/relationships/hyperlink" Target="https://orcid.org/0000-0003-4262-6987" TargetMode="External"/><Relationship Id="rId24" Type="http://schemas.openxmlformats.org/officeDocument/2006/relationships/hyperlink" Target="https://doi.org/10.17566/ciads.v6i3.384" TargetMode="External"/><Relationship Id="rId32" Type="http://schemas.openxmlformats.org/officeDocument/2006/relationships/hyperlink" Target="https://doi.org/10.1016/j.clineuro.2020.105798" TargetMode="External"/><Relationship Id="rId37" Type="http://schemas.openxmlformats.org/officeDocument/2006/relationships/hyperlink" Target="https://doi.org/10.1111/j.1751-486X.2010.01593.x" TargetMode="External"/><Relationship Id="rId40" Type="http://schemas.openxmlformats.org/officeDocument/2006/relationships/hyperlink" Target="https://doi.org/10.1590/S0103-21002008000300019" TargetMode="External"/><Relationship Id="rId45" Type="http://schemas.openxmlformats.org/officeDocument/2006/relationships/hyperlink" Target="https://doi.org/10.1007/s10943-016-0236-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6717-9223" TargetMode="External"/><Relationship Id="rId19" Type="http://schemas.openxmlformats.org/officeDocument/2006/relationships/footer" Target="footer2.xml"/><Relationship Id="rId31" Type="http://schemas.openxmlformats.org/officeDocument/2006/relationships/hyperlink" Target="https://doi.org/10.7326/M18-0850" TargetMode="External"/><Relationship Id="rId44" Type="http://schemas.openxmlformats.org/officeDocument/2006/relationships/hyperlink" Target="https://doi.org/10.1111/ajo.12420"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2-9790-0632" TargetMode="External"/><Relationship Id="rId22" Type="http://schemas.openxmlformats.org/officeDocument/2006/relationships/hyperlink" Target="https://www.jw.org/pt/noticias/jw-noticias/por-regiao/mundial/Relat%C3%B3rio-do-ano-de-servi%C3%A7o-de-2019-maior-n%C3%BAmero-de-batizados-em-20-anos/" TargetMode="External"/><Relationship Id="rId27" Type="http://schemas.openxmlformats.org/officeDocument/2006/relationships/hyperlink" Target="http://www.cofen.gov.br/resolucao-cofen-no-5642017_59145.html" TargetMode="External"/><Relationship Id="rId30" Type="http://schemas.openxmlformats.org/officeDocument/2006/relationships/hyperlink" Target="https://jbi-global-wiki.refined.site/space/MANUAL/4685874/Downloadable+PDF+-+current+version?attachment=/rest/api/content/4685874/child/attachment/att4691824/download&amp;type=application/pdf&amp;filename=JBIMES_2021April" TargetMode="External"/><Relationship Id="rId35" Type="http://schemas.openxmlformats.org/officeDocument/2006/relationships/hyperlink" Target="https://10.1097/OGX.0000000000000343" TargetMode="External"/><Relationship Id="rId43" Type="http://schemas.openxmlformats.org/officeDocument/2006/relationships/hyperlink" Target="https://doi.org/10.1111/vox.12637" TargetMode="External"/><Relationship Id="rId48" Type="http://schemas.openxmlformats.org/officeDocument/2006/relationships/hyperlink" Target="https://doi:10.1111/j.1744-1633.2012.00612.x" TargetMode="External"/><Relationship Id="rId8" Type="http://schemas.openxmlformats.org/officeDocument/2006/relationships/hyperlink" Target="https://orcid.org/0000-0002-1351-513X" TargetMode="External"/><Relationship Id="rId51" Type="http://schemas.openxmlformats.org/officeDocument/2006/relationships/hyperlink" Target="https://www.researchgate.net/publication/291756503_Evaluation_of_a_guide_for_Jehova's_witnesses_after_its_application_in_it_practice_assistant" TargetMode="External"/><Relationship Id="rId3" Type="http://schemas.openxmlformats.org/officeDocument/2006/relationships/styles" Target="styles.xml"/><Relationship Id="rId12" Type="http://schemas.openxmlformats.org/officeDocument/2006/relationships/hyperlink" Target="https://orcid.org/0000-0003-0840-4838" TargetMode="External"/><Relationship Id="rId17" Type="http://schemas.openxmlformats.org/officeDocument/2006/relationships/footer" Target="footer1.xml"/><Relationship Id="rId25" Type="http://schemas.openxmlformats.org/officeDocument/2006/relationships/hyperlink" Target="http://www.planalto.gov.br/ccivil_03/constituicao/constituicaocompilado.htm" TargetMode="External"/><Relationship Id="rId33" Type="http://schemas.openxmlformats.org/officeDocument/2006/relationships/hyperlink" Target="https://doi:10.1111/bjh.16284" TargetMode="External"/><Relationship Id="rId38" Type="http://schemas.openxmlformats.org/officeDocument/2006/relationships/hyperlink" Target="https://doi.org/10.1590/S0104-42302010000600022" TargetMode="External"/><Relationship Id="rId46" Type="http://schemas.openxmlformats.org/officeDocument/2006/relationships/hyperlink" Target="https://doi.org/10.1053/j.jvca.2015.10.021" TargetMode="External"/><Relationship Id="rId20" Type="http://schemas.openxmlformats.org/officeDocument/2006/relationships/hyperlink" Target="http://www.prosangue.sp.gov.br/uploads/arquivos/MANUAL%20DE%20TRANS%202020%20RGB.pdf" TargetMode="External"/><Relationship Id="rId41" Type="http://schemas.openxmlformats.org/officeDocument/2006/relationships/hyperlink" Target="https://doi.org/10.1111/j.1537-2995.2006.00947.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iteriapires@gmail.com" TargetMode="External"/><Relationship Id="rId23" Type="http://schemas.openxmlformats.org/officeDocument/2006/relationships/hyperlink" Target="https://wol.jw.org/pt/wol/d/r5/lp-t/2004445" TargetMode="External"/><Relationship Id="rId28" Type="http://schemas.openxmlformats.org/officeDocument/2006/relationships/hyperlink" Target="http://dx.doi.org/10.1590/0034-7167-2016-0570" TargetMode="External"/><Relationship Id="rId36" Type="http://schemas.openxmlformats.org/officeDocument/2006/relationships/hyperlink" Target="https://doi.org/10.11606/issn.2316-9044.v17i2p98-116" TargetMode="External"/><Relationship Id="rId49" Type="http://schemas.openxmlformats.org/officeDocument/2006/relationships/hyperlink" Target="https://doi.org/10.1016/j.tmrv.2009.03.00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2.65063"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E955-AA7E-402D-935C-038052A0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7432</Words>
  <Characters>40138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alexan.peixoto@gmail.com</cp:lastModifiedBy>
  <cp:revision>7</cp:revision>
  <cp:lastPrinted>2022-01-26T16:03:00Z</cp:lastPrinted>
  <dcterms:created xsi:type="dcterms:W3CDTF">2022-08-25T16:45:00Z</dcterms:created>
  <dcterms:modified xsi:type="dcterms:W3CDTF">2022-09-01T14:24:00Z</dcterms:modified>
</cp:coreProperties>
</file>